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E8" w:rsidRPr="00F04276" w:rsidRDefault="002A43E8" w:rsidP="002A43E8">
      <w:pPr>
        <w:widowControl/>
        <w:shd w:val="clear" w:color="auto" w:fill="FFFFFF"/>
        <w:spacing w:line="500" w:lineRule="exact"/>
        <w:ind w:right="480"/>
        <w:jc w:val="left"/>
        <w:rPr>
          <w:rFonts w:ascii="黑体" w:eastAsia="黑体" w:hAnsi="黑体" w:cs="宋体"/>
          <w:color w:val="000000" w:themeColor="text1"/>
          <w:kern w:val="0"/>
        </w:rPr>
      </w:pPr>
      <w:r w:rsidRPr="00F04276">
        <w:rPr>
          <w:rFonts w:ascii="黑体" w:eastAsia="黑体" w:hAnsi="黑体" w:cs="宋体" w:hint="eastAsia"/>
          <w:color w:val="000000" w:themeColor="text1"/>
          <w:kern w:val="0"/>
        </w:rPr>
        <w:t>附件</w:t>
      </w:r>
    </w:p>
    <w:p w:rsidR="002A43E8" w:rsidRPr="00F04276" w:rsidRDefault="00120267" w:rsidP="00AB169F">
      <w:pPr>
        <w:spacing w:line="600" w:lineRule="exact"/>
        <w:jc w:val="center"/>
        <w:rPr>
          <w:rFonts w:ascii="华文中宋" w:eastAsia="华文中宋" w:hAnsi="华文中宋" w:cs="Times New Roman"/>
          <w:b/>
          <w:color w:val="000000" w:themeColor="text1"/>
          <w:sz w:val="36"/>
          <w:szCs w:val="36"/>
        </w:rPr>
      </w:pPr>
      <w:r w:rsidRPr="00120267">
        <w:rPr>
          <w:rFonts w:ascii="华文中宋" w:eastAsia="华文中宋" w:hAnsi="华文中宋" w:cs="Times New Roman" w:hint="eastAsia"/>
          <w:b/>
          <w:color w:val="000000" w:themeColor="text1"/>
          <w:sz w:val="36"/>
          <w:szCs w:val="36"/>
        </w:rPr>
        <w:t>助残社会组织宣传展示</w:t>
      </w:r>
      <w:r w:rsidR="00597359" w:rsidRPr="00F04276">
        <w:rPr>
          <w:rFonts w:ascii="华文中宋" w:eastAsia="华文中宋" w:hAnsi="华文中宋" w:cs="Times New Roman" w:hint="eastAsia"/>
          <w:b/>
          <w:color w:val="000000" w:themeColor="text1"/>
          <w:sz w:val="36"/>
          <w:szCs w:val="36"/>
        </w:rPr>
        <w:t>项目</w:t>
      </w:r>
      <w:r w:rsidR="002A43E8" w:rsidRPr="00F04276">
        <w:rPr>
          <w:rFonts w:ascii="华文中宋" w:eastAsia="华文中宋" w:hAnsi="华文中宋" w:cs="Times New Roman" w:hint="eastAsia"/>
          <w:b/>
          <w:color w:val="000000" w:themeColor="text1"/>
          <w:sz w:val="36"/>
          <w:szCs w:val="36"/>
        </w:rPr>
        <w:t>评分表</w:t>
      </w:r>
    </w:p>
    <w:p w:rsidR="002A43E8" w:rsidRPr="00F04276" w:rsidRDefault="002A43E8" w:rsidP="002A43E8">
      <w:pPr>
        <w:ind w:firstLineChars="200" w:firstLine="420"/>
        <w:rPr>
          <w:rFonts w:ascii="华文中宋" w:eastAsia="华文中宋" w:hAnsi="华文中宋" w:cs="宋体"/>
          <w:b/>
          <w:color w:val="000000" w:themeColor="text1"/>
          <w:kern w:val="0"/>
          <w:sz w:val="36"/>
          <w:szCs w:val="36"/>
        </w:rPr>
      </w:pPr>
      <w:r w:rsidRPr="00F04276">
        <w:rPr>
          <w:rFonts w:ascii="宋体-18030" w:eastAsia="宋体-18030" w:hAnsi="宋体-18030" w:cs="宋体-18030" w:hint="eastAsia"/>
          <w:color w:val="000000" w:themeColor="text1"/>
          <w:kern w:val="0"/>
          <w:szCs w:val="21"/>
        </w:rPr>
        <w:t>制表单位：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767"/>
        <w:gridCol w:w="576"/>
        <w:gridCol w:w="5680"/>
        <w:gridCol w:w="705"/>
        <w:gridCol w:w="1702"/>
        <w:gridCol w:w="1702"/>
        <w:gridCol w:w="1649"/>
      </w:tblGrid>
      <w:tr w:rsidR="00F04276" w:rsidRPr="00F04276" w:rsidTr="00285A91">
        <w:trPr>
          <w:trHeight w:val="64"/>
        </w:trPr>
        <w:tc>
          <w:tcPr>
            <w:tcW w:w="151"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序号</w:t>
            </w:r>
          </w:p>
        </w:tc>
        <w:tc>
          <w:tcPr>
            <w:tcW w:w="299"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评分因素</w:t>
            </w:r>
          </w:p>
        </w:tc>
        <w:tc>
          <w:tcPr>
            <w:tcW w:w="273"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项 目</w:t>
            </w:r>
          </w:p>
        </w:tc>
        <w:tc>
          <w:tcPr>
            <w:tcW w:w="205"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标准分</w:t>
            </w:r>
          </w:p>
        </w:tc>
        <w:tc>
          <w:tcPr>
            <w:tcW w:w="2022" w:type="pc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r w:rsidRPr="00F04276">
              <w:rPr>
                <w:rFonts w:ascii="宋体" w:hAnsi="宋体" w:hint="eastAsia"/>
                <w:b/>
                <w:color w:val="000000" w:themeColor="text1"/>
                <w:sz w:val="18"/>
              </w:rPr>
              <w:t>评分标准</w:t>
            </w:r>
          </w:p>
        </w:tc>
        <w:tc>
          <w:tcPr>
            <w:tcW w:w="251" w:type="pc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hint="eastAsia"/>
                <w:b/>
                <w:color w:val="000000" w:themeColor="text1"/>
                <w:sz w:val="18"/>
              </w:rPr>
              <w:t>分值</w:t>
            </w:r>
          </w:p>
        </w:tc>
        <w:tc>
          <w:tcPr>
            <w:tcW w:w="606" w:type="pct"/>
            <w:vAlign w:val="center"/>
          </w:tcPr>
          <w:p w:rsidR="00285A91" w:rsidRPr="00F04276" w:rsidRDefault="00285A91" w:rsidP="00285A91">
            <w:pPr>
              <w:snapToGrid w:val="0"/>
              <w:spacing w:line="240" w:lineRule="exact"/>
              <w:jc w:val="center"/>
              <w:rPr>
                <w:rFonts w:ascii="宋体" w:hAnsi="宋体"/>
                <w:b/>
                <w:color w:val="000000" w:themeColor="text1"/>
                <w:sz w:val="18"/>
              </w:rPr>
            </w:pPr>
          </w:p>
        </w:tc>
        <w:tc>
          <w:tcPr>
            <w:tcW w:w="606" w:type="pct"/>
            <w:vAlign w:val="center"/>
          </w:tcPr>
          <w:p w:rsidR="00285A91" w:rsidRPr="00F04276" w:rsidRDefault="00285A91" w:rsidP="00673896">
            <w:pPr>
              <w:snapToGrid w:val="0"/>
              <w:spacing w:line="240" w:lineRule="exact"/>
              <w:jc w:val="center"/>
              <w:rPr>
                <w:rFonts w:ascii="宋体" w:hAnsi="宋体"/>
                <w:b/>
                <w:color w:val="000000" w:themeColor="text1"/>
                <w:sz w:val="18"/>
              </w:rPr>
            </w:pPr>
          </w:p>
        </w:tc>
        <w:tc>
          <w:tcPr>
            <w:tcW w:w="587" w:type="pct"/>
            <w:vAlign w:val="center"/>
          </w:tcPr>
          <w:p w:rsidR="00285A91" w:rsidRPr="00F04276" w:rsidRDefault="00285A91" w:rsidP="00673896">
            <w:pPr>
              <w:snapToGrid w:val="0"/>
              <w:spacing w:line="240" w:lineRule="exact"/>
              <w:jc w:val="center"/>
              <w:rPr>
                <w:rFonts w:ascii="宋体" w:hAnsi="宋体"/>
                <w:b/>
                <w:color w:val="000000" w:themeColor="text1"/>
                <w:sz w:val="18"/>
              </w:rPr>
            </w:pPr>
          </w:p>
        </w:tc>
      </w:tr>
      <w:tr w:rsidR="00F04276" w:rsidRPr="00F04276" w:rsidTr="00285A91">
        <w:tc>
          <w:tcPr>
            <w:tcW w:w="151" w:type="pct"/>
            <w:vMerge w:val="restar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hint="eastAsia"/>
                <w:color w:val="000000" w:themeColor="text1"/>
                <w:sz w:val="18"/>
              </w:rPr>
              <w:t>1</w:t>
            </w:r>
          </w:p>
        </w:tc>
        <w:tc>
          <w:tcPr>
            <w:tcW w:w="299" w:type="pct"/>
            <w:vMerge w:val="restart"/>
            <w:shd w:val="clear" w:color="auto" w:fill="auto"/>
            <w:vAlign w:val="center"/>
          </w:tcPr>
          <w:p w:rsidR="00285A91" w:rsidRPr="00F04276" w:rsidRDefault="00285A91" w:rsidP="00673896">
            <w:pPr>
              <w:spacing w:line="240" w:lineRule="exact"/>
              <w:jc w:val="center"/>
              <w:rPr>
                <w:rFonts w:ascii="宋体" w:hAnsi="宋体"/>
                <w:color w:val="000000" w:themeColor="text1"/>
                <w:sz w:val="18"/>
              </w:rPr>
            </w:pPr>
            <w:r w:rsidRPr="00F04276">
              <w:rPr>
                <w:rFonts w:ascii="宋体" w:hAnsi="宋体" w:hint="eastAsia"/>
                <w:b/>
                <w:color w:val="000000" w:themeColor="text1"/>
                <w:sz w:val="18"/>
              </w:rPr>
              <w:t>商务部分（35分）</w:t>
            </w:r>
          </w:p>
        </w:tc>
        <w:tc>
          <w:tcPr>
            <w:tcW w:w="273" w:type="pct"/>
            <w:vMerge w:val="restart"/>
            <w:shd w:val="clear" w:color="auto" w:fill="auto"/>
            <w:vAlign w:val="center"/>
          </w:tcPr>
          <w:p w:rsidR="00285A91" w:rsidRPr="00F04276" w:rsidRDefault="00285A91" w:rsidP="00500344">
            <w:pPr>
              <w:spacing w:line="240" w:lineRule="exact"/>
              <w:rPr>
                <w:rFonts w:ascii="宋体" w:hAnsi="宋体"/>
                <w:color w:val="000000" w:themeColor="text1"/>
                <w:sz w:val="18"/>
              </w:rPr>
            </w:pPr>
            <w:r w:rsidRPr="00F04276">
              <w:rPr>
                <w:rFonts w:ascii="宋体" w:hAnsi="宋体" w:hint="eastAsia"/>
                <w:color w:val="000000" w:themeColor="text1"/>
                <w:sz w:val="18"/>
              </w:rPr>
              <w:t>机构资质</w:t>
            </w:r>
          </w:p>
        </w:tc>
        <w:tc>
          <w:tcPr>
            <w:tcW w:w="205" w:type="pct"/>
            <w:vMerge w:val="restart"/>
            <w:shd w:val="clear" w:color="auto" w:fill="auto"/>
            <w:vAlign w:val="center"/>
          </w:tcPr>
          <w:p w:rsidR="00285A91" w:rsidRPr="00F04276" w:rsidRDefault="00285A91" w:rsidP="0030766B">
            <w:pPr>
              <w:snapToGrid w:val="0"/>
              <w:spacing w:line="240" w:lineRule="exact"/>
              <w:jc w:val="center"/>
              <w:rPr>
                <w:rFonts w:ascii="宋体" w:hAnsi="宋体"/>
                <w:color w:val="000000" w:themeColor="text1"/>
                <w:sz w:val="18"/>
              </w:rPr>
            </w:pPr>
            <w:r w:rsidRPr="00F04276">
              <w:rPr>
                <w:rFonts w:ascii="宋体" w:hAnsi="宋体" w:hint="eastAsia"/>
                <w:color w:val="000000" w:themeColor="text1"/>
                <w:sz w:val="18"/>
              </w:rPr>
              <w:t>15</w:t>
            </w:r>
          </w:p>
        </w:tc>
        <w:tc>
          <w:tcPr>
            <w:tcW w:w="2022" w:type="pct"/>
            <w:shd w:val="clear" w:color="auto" w:fill="auto"/>
            <w:vAlign w:val="center"/>
          </w:tcPr>
          <w:p w:rsidR="00285A91" w:rsidRPr="00F04276" w:rsidRDefault="00285A91" w:rsidP="00660165">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F04276" w:rsidRDefault="00285A91" w:rsidP="008623BA">
            <w:pPr>
              <w:spacing w:line="240" w:lineRule="exact"/>
              <w:jc w:val="center"/>
              <w:rPr>
                <w:rFonts w:ascii="宋体" w:hAnsi="宋体"/>
                <w:color w:val="000000" w:themeColor="text1"/>
                <w:sz w:val="18"/>
              </w:rPr>
            </w:pPr>
            <w:r w:rsidRPr="00F04276">
              <w:rPr>
                <w:rFonts w:ascii="宋体" w:hAnsi="宋体" w:hint="eastAsia"/>
                <w:color w:val="000000" w:themeColor="text1"/>
                <w:sz w:val="18"/>
              </w:rPr>
              <w:t>0-5</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73" w:type="pct"/>
            <w:vMerge/>
            <w:shd w:val="clear" w:color="auto" w:fill="auto"/>
            <w:vAlign w:val="center"/>
          </w:tcPr>
          <w:p w:rsidR="00285A91" w:rsidRPr="00F04276" w:rsidRDefault="00285A91" w:rsidP="00500344">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660165">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机构财务条件具有履约能力（近六个月内任三个月依法缴纳税收和社会保障金的凭证复印件）</w:t>
            </w:r>
          </w:p>
        </w:tc>
        <w:tc>
          <w:tcPr>
            <w:tcW w:w="251" w:type="pct"/>
            <w:shd w:val="clear" w:color="auto" w:fill="auto"/>
            <w:vAlign w:val="center"/>
          </w:tcPr>
          <w:p w:rsidR="00285A91" w:rsidRPr="00F04276" w:rsidRDefault="00285A91" w:rsidP="008623BA">
            <w:pPr>
              <w:spacing w:line="240" w:lineRule="exact"/>
              <w:jc w:val="center"/>
              <w:rPr>
                <w:rFonts w:ascii="宋体" w:hAnsi="宋体"/>
                <w:color w:val="000000" w:themeColor="text1"/>
                <w:sz w:val="18"/>
              </w:rPr>
            </w:pPr>
            <w:r w:rsidRPr="00F04276">
              <w:rPr>
                <w:rFonts w:ascii="宋体" w:hAnsi="宋体" w:hint="eastAsia"/>
                <w:color w:val="000000" w:themeColor="text1"/>
                <w:sz w:val="18"/>
              </w:rPr>
              <w:t>0-5</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b/>
                <w:color w:val="000000" w:themeColor="text1"/>
                <w:sz w:val="18"/>
              </w:rPr>
            </w:pPr>
          </w:p>
        </w:tc>
        <w:tc>
          <w:tcPr>
            <w:tcW w:w="273" w:type="pct"/>
            <w:vMerge/>
            <w:shd w:val="clear" w:color="auto" w:fill="auto"/>
            <w:vAlign w:val="center"/>
          </w:tcPr>
          <w:p w:rsidR="00285A91" w:rsidRPr="00F04276" w:rsidRDefault="00285A91" w:rsidP="00500344">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660165">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机构信用证明材料或近三年内在经营活动中没有重大违法记录的书面声明，并加盖公章</w:t>
            </w:r>
          </w:p>
        </w:tc>
        <w:tc>
          <w:tcPr>
            <w:tcW w:w="251" w:type="pct"/>
            <w:shd w:val="clear" w:color="auto" w:fill="auto"/>
            <w:vAlign w:val="center"/>
          </w:tcPr>
          <w:p w:rsidR="00285A91" w:rsidRPr="00F04276" w:rsidRDefault="00285A91" w:rsidP="008623BA">
            <w:pPr>
              <w:spacing w:line="240" w:lineRule="exact"/>
              <w:jc w:val="center"/>
              <w:rPr>
                <w:rFonts w:ascii="宋体" w:hAnsi="宋体"/>
                <w:color w:val="000000" w:themeColor="text1"/>
                <w:sz w:val="18"/>
              </w:rPr>
            </w:pPr>
            <w:r w:rsidRPr="00F04276">
              <w:rPr>
                <w:rFonts w:ascii="宋体" w:hAnsi="宋体" w:hint="eastAsia"/>
                <w:color w:val="000000" w:themeColor="text1"/>
                <w:sz w:val="18"/>
              </w:rPr>
              <w:t>0-5</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shd w:val="clear" w:color="auto" w:fill="auto"/>
            <w:vAlign w:val="center"/>
          </w:tcPr>
          <w:p w:rsidR="00285A91" w:rsidRPr="00F04276" w:rsidRDefault="00285A91" w:rsidP="00500344">
            <w:pPr>
              <w:spacing w:line="240" w:lineRule="exact"/>
              <w:rPr>
                <w:rFonts w:ascii="宋体" w:hAnsi="宋体"/>
                <w:color w:val="000000" w:themeColor="text1"/>
                <w:sz w:val="18"/>
              </w:rPr>
            </w:pPr>
            <w:r w:rsidRPr="00F04276">
              <w:rPr>
                <w:rFonts w:ascii="宋体" w:hAnsi="宋体" w:hint="eastAsia"/>
                <w:color w:val="000000" w:themeColor="text1"/>
                <w:sz w:val="18"/>
              </w:rPr>
              <w:t>相关业绩</w:t>
            </w:r>
          </w:p>
        </w:tc>
        <w:tc>
          <w:tcPr>
            <w:tcW w:w="205" w:type="pct"/>
            <w:shd w:val="clear" w:color="auto" w:fill="auto"/>
            <w:vAlign w:val="center"/>
          </w:tcPr>
          <w:p w:rsidR="00285A91" w:rsidRPr="00F04276" w:rsidRDefault="00285A91" w:rsidP="00DF54B9">
            <w:pPr>
              <w:snapToGrid w:val="0"/>
              <w:spacing w:line="240" w:lineRule="exact"/>
              <w:jc w:val="center"/>
              <w:rPr>
                <w:rFonts w:ascii="宋体" w:hAnsi="宋体"/>
                <w:color w:val="000000" w:themeColor="text1"/>
                <w:sz w:val="18"/>
              </w:rPr>
            </w:pPr>
            <w:r w:rsidRPr="00F04276">
              <w:rPr>
                <w:rFonts w:ascii="宋体" w:hAnsi="宋体" w:hint="eastAsia"/>
                <w:color w:val="000000" w:themeColor="text1"/>
                <w:sz w:val="18"/>
              </w:rPr>
              <w:t>20</w:t>
            </w:r>
          </w:p>
        </w:tc>
        <w:tc>
          <w:tcPr>
            <w:tcW w:w="2022" w:type="pct"/>
            <w:shd w:val="clear" w:color="auto" w:fill="auto"/>
            <w:vAlign w:val="center"/>
          </w:tcPr>
          <w:p w:rsidR="00285A91" w:rsidRPr="00F04276" w:rsidRDefault="00285A91" w:rsidP="00DF54B9">
            <w:pPr>
              <w:snapToGrid w:val="0"/>
              <w:spacing w:line="240" w:lineRule="exact"/>
              <w:rPr>
                <w:rFonts w:ascii="宋体" w:hAnsi="宋体"/>
                <w:color w:val="000000" w:themeColor="text1"/>
                <w:sz w:val="18"/>
              </w:rPr>
            </w:pPr>
            <w:r w:rsidRPr="00F04276">
              <w:rPr>
                <w:rFonts w:ascii="宋体" w:hAnsi="宋体" w:hint="eastAsia"/>
                <w:color w:val="000000" w:themeColor="text1"/>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F04276" w:rsidRDefault="00285A91" w:rsidP="00DF54B9">
            <w:pPr>
              <w:spacing w:line="240" w:lineRule="exact"/>
              <w:jc w:val="center"/>
              <w:rPr>
                <w:rFonts w:ascii="宋体" w:hAnsi="宋体"/>
                <w:color w:val="000000" w:themeColor="text1"/>
                <w:sz w:val="18"/>
              </w:rPr>
            </w:pPr>
            <w:r w:rsidRPr="00F04276">
              <w:rPr>
                <w:rFonts w:ascii="宋体" w:hAnsi="宋体"/>
                <w:color w:val="000000" w:themeColor="text1"/>
                <w:sz w:val="18"/>
              </w:rPr>
              <w:t>0-</w:t>
            </w:r>
            <w:r w:rsidRPr="00F04276">
              <w:rPr>
                <w:rFonts w:ascii="宋体" w:hAnsi="宋体" w:hint="eastAsia"/>
                <w:color w:val="000000" w:themeColor="text1"/>
                <w:sz w:val="18"/>
              </w:rPr>
              <w:t>20</w:t>
            </w: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64"/>
        </w:trPr>
        <w:tc>
          <w:tcPr>
            <w:tcW w:w="151" w:type="pct"/>
            <w:vMerge w:val="restart"/>
            <w:shd w:val="clear" w:color="auto" w:fill="auto"/>
            <w:vAlign w:val="center"/>
          </w:tcPr>
          <w:p w:rsidR="00285A91" w:rsidRPr="00F04276" w:rsidRDefault="00285A91" w:rsidP="002A43E8">
            <w:pPr>
              <w:snapToGrid w:val="0"/>
              <w:spacing w:line="240" w:lineRule="exact"/>
              <w:jc w:val="center"/>
              <w:rPr>
                <w:rFonts w:ascii="宋体" w:hAnsi="宋体"/>
                <w:b/>
                <w:color w:val="000000" w:themeColor="text1"/>
                <w:sz w:val="18"/>
              </w:rPr>
            </w:pPr>
            <w:bookmarkStart w:id="0" w:name="_GoBack"/>
            <w:bookmarkEnd w:id="0"/>
            <w:r w:rsidRPr="00F04276">
              <w:rPr>
                <w:rFonts w:ascii="宋体" w:hAnsi="宋体" w:hint="eastAsia"/>
                <w:b/>
                <w:color w:val="000000" w:themeColor="text1"/>
                <w:sz w:val="18"/>
              </w:rPr>
              <w:t xml:space="preserve">                                                                                                                                                                                                                                                                                                                                                                                                                                                                                                                                                                                                                                                                                                                                                                                                                                                                                                                                                                                                                                                                                                                                                                                                                                                                                                                                                                                                                                                                                                                                                                                                                                                                                                                                                                                                                                                                                                                                                                                                                                                                                                                                                                                                                                                                                                                                                                                                                                                                                                                                                                                                                                                                                                                                                                                                                                                                                                                                                                                                                                                                                                                                                                                                                                                                                                                                                                                                                                                                                                                        2</w:t>
            </w:r>
          </w:p>
        </w:tc>
        <w:tc>
          <w:tcPr>
            <w:tcW w:w="299" w:type="pct"/>
            <w:vMerge w:val="restart"/>
            <w:shd w:val="clear" w:color="auto" w:fill="auto"/>
            <w:vAlign w:val="center"/>
          </w:tcPr>
          <w:p w:rsidR="00285A91" w:rsidRPr="00F04276" w:rsidRDefault="00285A91" w:rsidP="008623BA">
            <w:pPr>
              <w:spacing w:line="240" w:lineRule="exact"/>
              <w:jc w:val="center"/>
              <w:rPr>
                <w:rFonts w:ascii="宋体" w:hAnsi="宋体"/>
                <w:b/>
                <w:color w:val="000000" w:themeColor="text1"/>
                <w:sz w:val="18"/>
              </w:rPr>
            </w:pPr>
            <w:r w:rsidRPr="00F04276">
              <w:rPr>
                <w:rFonts w:ascii="宋体" w:hAnsi="宋体" w:hint="eastAsia"/>
                <w:b/>
                <w:color w:val="000000" w:themeColor="text1"/>
                <w:sz w:val="18"/>
              </w:rPr>
              <w:t>技术部分（55分）</w:t>
            </w:r>
          </w:p>
        </w:tc>
        <w:tc>
          <w:tcPr>
            <w:tcW w:w="273" w:type="pct"/>
            <w:vMerge w:val="restart"/>
            <w:shd w:val="clear" w:color="auto" w:fill="auto"/>
            <w:vAlign w:val="center"/>
          </w:tcPr>
          <w:p w:rsidR="00285A91" w:rsidRPr="00F04276" w:rsidRDefault="00285A91" w:rsidP="002A43E8">
            <w:pPr>
              <w:spacing w:line="240" w:lineRule="exact"/>
              <w:rPr>
                <w:rFonts w:ascii="宋体" w:hAnsi="宋体"/>
                <w:color w:val="000000" w:themeColor="text1"/>
                <w:sz w:val="18"/>
              </w:rPr>
            </w:pPr>
            <w:r w:rsidRPr="00F04276">
              <w:rPr>
                <w:rFonts w:ascii="宋体" w:hAnsi="宋体" w:hint="eastAsia"/>
                <w:color w:val="000000" w:themeColor="text1"/>
                <w:sz w:val="18"/>
              </w:rPr>
              <w:t>服务方案与措施</w:t>
            </w:r>
          </w:p>
        </w:tc>
        <w:tc>
          <w:tcPr>
            <w:tcW w:w="205" w:type="pct"/>
            <w:vMerge w:val="restar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color w:val="000000" w:themeColor="text1"/>
                <w:sz w:val="18"/>
              </w:rPr>
              <w:t>15</w:t>
            </w:r>
          </w:p>
        </w:tc>
        <w:tc>
          <w:tcPr>
            <w:tcW w:w="2022" w:type="pc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服务方案完整，合理可行，服务内容及措施细致、具有针对性、有一定可操作性，能够满足项目需求（10</w:t>
            </w:r>
            <w:r w:rsidRPr="00F04276">
              <w:rPr>
                <w:rFonts w:ascii="宋体" w:hAnsi="宋体"/>
                <w:color w:val="000000" w:themeColor="text1"/>
                <w:sz w:val="18"/>
              </w:rPr>
              <w:t>-15</w:t>
            </w:r>
            <w:r w:rsidRPr="00F04276">
              <w:rPr>
                <w:rFonts w:ascii="宋体" w:hAnsi="宋体" w:hint="eastAsia"/>
                <w:color w:val="000000" w:themeColor="text1"/>
                <w:sz w:val="18"/>
              </w:rPr>
              <w:t>）；</w:t>
            </w:r>
          </w:p>
        </w:tc>
        <w:tc>
          <w:tcPr>
            <w:tcW w:w="251" w:type="pct"/>
            <w:vMerge w:val="restart"/>
            <w:shd w:val="clear" w:color="auto" w:fill="auto"/>
            <w:vAlign w:val="center"/>
          </w:tcPr>
          <w:p w:rsidR="00285A91" w:rsidRPr="00F04276" w:rsidRDefault="00285A91" w:rsidP="002A43E8">
            <w:pPr>
              <w:spacing w:line="240" w:lineRule="exact"/>
              <w:jc w:val="center"/>
              <w:rPr>
                <w:rFonts w:ascii="宋体" w:hAnsi="宋体"/>
                <w:color w:val="000000" w:themeColor="text1"/>
                <w:sz w:val="18"/>
              </w:rPr>
            </w:pPr>
            <w:r w:rsidRPr="00F04276">
              <w:rPr>
                <w:rFonts w:ascii="宋体" w:hAnsi="宋体" w:hint="eastAsia"/>
                <w:color w:val="000000" w:themeColor="text1"/>
                <w:sz w:val="18"/>
              </w:rPr>
              <w:t>0</w:t>
            </w:r>
            <w:r w:rsidRPr="00F04276">
              <w:rPr>
                <w:rFonts w:ascii="宋体" w:hAnsi="宋体"/>
                <w:color w:val="000000" w:themeColor="text1"/>
                <w:sz w:val="18"/>
              </w:rPr>
              <w:t>-15</w:t>
            </w:r>
          </w:p>
        </w:tc>
        <w:tc>
          <w:tcPr>
            <w:tcW w:w="606" w:type="pct"/>
            <w:vMerge w:val="restart"/>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Merge w:val="restart"/>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Merge w:val="restart"/>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40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服务方案比较完整，服务内容及措施较为细致、较有针对性、可操作性一般，基本能够实现项目需求（5</w:t>
            </w:r>
            <w:r w:rsidRPr="00F04276">
              <w:rPr>
                <w:rFonts w:ascii="宋体" w:hAnsi="宋体"/>
                <w:color w:val="000000" w:themeColor="text1"/>
                <w:sz w:val="18"/>
              </w:rPr>
              <w:t>-</w:t>
            </w:r>
            <w:r w:rsidRPr="00F04276">
              <w:rPr>
                <w:rFonts w:ascii="宋体" w:hAnsi="宋体" w:hint="eastAsia"/>
                <w:color w:val="000000" w:themeColor="text1"/>
                <w:sz w:val="18"/>
              </w:rPr>
              <w:t>9）；</w:t>
            </w:r>
          </w:p>
        </w:tc>
        <w:tc>
          <w:tcPr>
            <w:tcW w:w="251" w:type="pct"/>
            <w:vMerge/>
            <w:shd w:val="clear" w:color="auto" w:fill="auto"/>
            <w:vAlign w:val="center"/>
          </w:tcPr>
          <w:p w:rsidR="00285A91" w:rsidRPr="00F04276" w:rsidRDefault="00285A91" w:rsidP="002A43E8">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Merge/>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olor w:val="000000" w:themeColor="text1"/>
                <w:sz w:val="18"/>
              </w:rPr>
            </w:pPr>
          </w:p>
        </w:tc>
        <w:tc>
          <w:tcPr>
            <w:tcW w:w="205" w:type="pct"/>
            <w:vMerge/>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p>
        </w:tc>
        <w:tc>
          <w:tcPr>
            <w:tcW w:w="2022" w:type="pc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服务方案内容及措施一般，细致程度、针对性、操作性欠佳（0-4）。</w:t>
            </w:r>
          </w:p>
        </w:tc>
        <w:tc>
          <w:tcPr>
            <w:tcW w:w="251" w:type="pct"/>
            <w:vMerge/>
            <w:shd w:val="clear" w:color="auto" w:fill="auto"/>
            <w:vAlign w:val="center"/>
          </w:tcPr>
          <w:p w:rsidR="00285A91" w:rsidRPr="00F04276" w:rsidRDefault="00285A91" w:rsidP="002A43E8">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606" w:type="pct"/>
            <w:vMerge/>
            <w:vAlign w:val="center"/>
          </w:tcPr>
          <w:p w:rsidR="00285A91" w:rsidRPr="00F04276" w:rsidRDefault="00285A91" w:rsidP="00673896">
            <w:pPr>
              <w:spacing w:line="240" w:lineRule="exact"/>
              <w:jc w:val="center"/>
              <w:rPr>
                <w:rFonts w:ascii="宋体" w:hAnsi="宋体"/>
                <w:color w:val="000000" w:themeColor="text1"/>
                <w:sz w:val="18"/>
              </w:rPr>
            </w:pPr>
          </w:p>
        </w:tc>
        <w:tc>
          <w:tcPr>
            <w:tcW w:w="587" w:type="pct"/>
            <w:vMerge/>
            <w:vAlign w:val="center"/>
          </w:tcPr>
          <w:p w:rsidR="00285A91" w:rsidRPr="00F04276" w:rsidRDefault="00285A91" w:rsidP="00673896">
            <w:pPr>
              <w:spacing w:line="240" w:lineRule="exact"/>
              <w:jc w:val="center"/>
              <w:rPr>
                <w:rFonts w:ascii="宋体" w:hAnsi="宋体"/>
                <w:color w:val="000000" w:themeColor="text1"/>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val="restart"/>
            <w:shd w:val="clear" w:color="auto" w:fill="auto"/>
            <w:vAlign w:val="center"/>
          </w:tcPr>
          <w:p w:rsidR="00285A91" w:rsidRPr="00F04276" w:rsidRDefault="00285A91" w:rsidP="002A43E8">
            <w:pPr>
              <w:snapToGrid w:val="0"/>
              <w:spacing w:line="240" w:lineRule="exact"/>
              <w:rPr>
                <w:rFonts w:ascii="宋体" w:hAnsi="宋体"/>
                <w:color w:val="000000" w:themeColor="text1"/>
                <w:sz w:val="18"/>
              </w:rPr>
            </w:pPr>
            <w:r w:rsidRPr="00F04276">
              <w:rPr>
                <w:rFonts w:ascii="宋体" w:hAnsi="宋体" w:hint="eastAsia"/>
                <w:color w:val="000000" w:themeColor="text1"/>
                <w:sz w:val="18"/>
              </w:rPr>
              <w:t>服务实施进度计划</w:t>
            </w:r>
          </w:p>
        </w:tc>
        <w:tc>
          <w:tcPr>
            <w:tcW w:w="205" w:type="pct"/>
            <w:vMerge w:val="restart"/>
            <w:shd w:val="clear" w:color="auto" w:fill="auto"/>
            <w:vAlign w:val="center"/>
          </w:tcPr>
          <w:p w:rsidR="00285A91" w:rsidRPr="00F04276" w:rsidRDefault="00285A91" w:rsidP="002A43E8">
            <w:pPr>
              <w:snapToGrid w:val="0"/>
              <w:spacing w:line="240" w:lineRule="exact"/>
              <w:jc w:val="center"/>
              <w:rPr>
                <w:rFonts w:ascii="宋体" w:hAnsi="宋体"/>
                <w:color w:val="000000" w:themeColor="text1"/>
                <w:sz w:val="18"/>
              </w:rPr>
            </w:pPr>
            <w:r w:rsidRPr="00F04276">
              <w:rPr>
                <w:rFonts w:ascii="宋体" w:hAnsi="宋体"/>
                <w:color w:val="000000" w:themeColor="text1"/>
                <w:sz w:val="18"/>
              </w:rPr>
              <w:t>15</w:t>
            </w: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项目实施</w:t>
            </w:r>
            <w:r w:rsidRPr="00F04276">
              <w:rPr>
                <w:rFonts w:ascii="宋体" w:hAnsi="宋体" w:cs="宋体"/>
                <w:color w:val="000000" w:themeColor="text1"/>
                <w:kern w:val="0"/>
                <w:sz w:val="18"/>
              </w:rPr>
              <w:t>计划</w:t>
            </w:r>
            <w:r w:rsidRPr="00F04276">
              <w:rPr>
                <w:rFonts w:ascii="宋体" w:hAnsi="宋体" w:cs="宋体" w:hint="eastAsia"/>
                <w:color w:val="000000" w:themeColor="text1"/>
                <w:kern w:val="0"/>
                <w:sz w:val="18"/>
              </w:rPr>
              <w:t>科学</w:t>
            </w:r>
            <w:r w:rsidRPr="00F04276">
              <w:rPr>
                <w:rFonts w:ascii="宋体" w:hAnsi="宋体" w:cs="宋体"/>
                <w:color w:val="000000" w:themeColor="text1"/>
                <w:kern w:val="0"/>
                <w:sz w:val="18"/>
              </w:rPr>
              <w:t>合理，满足进度要求</w:t>
            </w:r>
            <w:r w:rsidRPr="00F04276">
              <w:rPr>
                <w:rFonts w:ascii="宋体" w:hAnsi="宋体" w:cs="宋体" w:hint="eastAsia"/>
                <w:color w:val="000000" w:themeColor="text1"/>
                <w:kern w:val="0"/>
                <w:sz w:val="18"/>
              </w:rPr>
              <w:t>（10</w:t>
            </w:r>
            <w:r w:rsidRPr="00F04276">
              <w:rPr>
                <w:rFonts w:ascii="宋体" w:hAnsi="宋体" w:cs="宋体"/>
                <w:color w:val="000000" w:themeColor="text1"/>
                <w:kern w:val="0"/>
                <w:sz w:val="18"/>
              </w:rPr>
              <w:t>-15</w:t>
            </w:r>
            <w:r w:rsidRPr="00F04276">
              <w:rPr>
                <w:rFonts w:ascii="宋体" w:hAnsi="宋体" w:cs="宋体" w:hint="eastAsia"/>
                <w:color w:val="000000" w:themeColor="text1"/>
                <w:kern w:val="0"/>
                <w:sz w:val="18"/>
              </w:rPr>
              <w:t>）；</w:t>
            </w:r>
          </w:p>
        </w:tc>
        <w:tc>
          <w:tcPr>
            <w:tcW w:w="251"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0</w:t>
            </w:r>
            <w:r w:rsidRPr="00F04276">
              <w:rPr>
                <w:rFonts w:ascii="宋体" w:hAnsi="宋体" w:cs="宋体"/>
                <w:color w:val="000000" w:themeColor="text1"/>
                <w:kern w:val="0"/>
                <w:sz w:val="18"/>
              </w:rPr>
              <w:t>-15</w:t>
            </w: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项目实施</w:t>
            </w:r>
            <w:r w:rsidRPr="00F04276">
              <w:rPr>
                <w:rFonts w:ascii="宋体" w:hAnsi="宋体" w:cs="宋体"/>
                <w:color w:val="000000" w:themeColor="text1"/>
                <w:kern w:val="0"/>
                <w:sz w:val="18"/>
              </w:rPr>
              <w:t>计划</w:t>
            </w:r>
            <w:r w:rsidRPr="00F04276">
              <w:rPr>
                <w:rFonts w:ascii="宋体" w:hAnsi="宋体" w:cs="宋体" w:hint="eastAsia"/>
                <w:color w:val="000000" w:themeColor="text1"/>
                <w:kern w:val="0"/>
                <w:sz w:val="18"/>
              </w:rPr>
              <w:t>较为</w:t>
            </w:r>
            <w:r w:rsidRPr="00F04276">
              <w:rPr>
                <w:rFonts w:ascii="宋体" w:hAnsi="宋体" w:cs="宋体"/>
                <w:color w:val="000000" w:themeColor="text1"/>
                <w:kern w:val="0"/>
                <w:sz w:val="18"/>
              </w:rPr>
              <w:t>合理，</w:t>
            </w:r>
            <w:r w:rsidRPr="00F04276">
              <w:rPr>
                <w:rFonts w:ascii="宋体" w:hAnsi="宋体" w:cs="宋体" w:hint="eastAsia"/>
                <w:color w:val="000000" w:themeColor="text1"/>
                <w:kern w:val="0"/>
                <w:sz w:val="18"/>
              </w:rPr>
              <w:t>基本</w:t>
            </w:r>
            <w:r w:rsidRPr="00F04276">
              <w:rPr>
                <w:rFonts w:ascii="宋体" w:hAnsi="宋体" w:cs="宋体"/>
                <w:color w:val="000000" w:themeColor="text1"/>
                <w:kern w:val="0"/>
                <w:sz w:val="18"/>
              </w:rPr>
              <w:t>满足进度要求</w:t>
            </w:r>
            <w:r w:rsidRPr="00F04276">
              <w:rPr>
                <w:rFonts w:ascii="宋体" w:hAnsi="宋体" w:cs="宋体" w:hint="eastAsia"/>
                <w:color w:val="000000" w:themeColor="text1"/>
                <w:kern w:val="0"/>
                <w:sz w:val="18"/>
              </w:rPr>
              <w:t>（5</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9）；</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项目实施</w:t>
            </w:r>
            <w:r w:rsidRPr="00F04276">
              <w:rPr>
                <w:rFonts w:ascii="宋体" w:hAnsi="宋体" w:cs="宋体"/>
                <w:color w:val="000000" w:themeColor="text1"/>
                <w:kern w:val="0"/>
                <w:sz w:val="18"/>
              </w:rPr>
              <w:t>计划</w:t>
            </w:r>
            <w:r w:rsidRPr="00F04276">
              <w:rPr>
                <w:rFonts w:ascii="宋体" w:hAnsi="宋体" w:cs="宋体" w:hint="eastAsia"/>
                <w:color w:val="000000" w:themeColor="text1"/>
                <w:kern w:val="0"/>
                <w:sz w:val="18"/>
              </w:rPr>
              <w:t>不太</w:t>
            </w:r>
            <w:r w:rsidRPr="00F04276">
              <w:rPr>
                <w:rFonts w:ascii="宋体" w:hAnsi="宋体" w:cs="宋体"/>
                <w:color w:val="000000" w:themeColor="text1"/>
                <w:kern w:val="0"/>
                <w:sz w:val="18"/>
              </w:rPr>
              <w:t>合理，</w:t>
            </w:r>
            <w:r w:rsidRPr="00F04276">
              <w:rPr>
                <w:rFonts w:ascii="宋体" w:hAnsi="宋体" w:cs="宋体" w:hint="eastAsia"/>
                <w:color w:val="000000" w:themeColor="text1"/>
                <w:kern w:val="0"/>
                <w:sz w:val="18"/>
              </w:rPr>
              <w:t>不能</w:t>
            </w:r>
            <w:r w:rsidRPr="00F04276">
              <w:rPr>
                <w:rFonts w:ascii="宋体" w:hAnsi="宋体" w:cs="宋体"/>
                <w:color w:val="000000" w:themeColor="text1"/>
                <w:kern w:val="0"/>
                <w:sz w:val="18"/>
              </w:rPr>
              <w:t>满足进度要求</w:t>
            </w:r>
            <w:r w:rsidRPr="00F04276">
              <w:rPr>
                <w:rFonts w:ascii="宋体" w:hAnsi="宋体" w:cs="宋体" w:hint="eastAsia"/>
                <w:color w:val="000000" w:themeColor="text1"/>
                <w:kern w:val="0"/>
                <w:sz w:val="18"/>
              </w:rPr>
              <w:t>（0-4）。</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val="restar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hint="eastAsia"/>
                <w:color w:val="000000" w:themeColor="text1"/>
                <w:sz w:val="18"/>
              </w:rPr>
              <w:t>人员组织</w:t>
            </w:r>
          </w:p>
        </w:tc>
        <w:tc>
          <w:tcPr>
            <w:tcW w:w="205"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15</w:t>
            </w: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项目参与人员安排稳定，分工合理，负责人</w:t>
            </w:r>
            <w:r w:rsidRPr="00F04276">
              <w:rPr>
                <w:rFonts w:ascii="宋体" w:hAnsi="宋体" w:hint="eastAsia"/>
                <w:color w:val="000000" w:themeColor="text1"/>
                <w:sz w:val="18"/>
              </w:rPr>
              <w:t>具有充分的相关管理经验</w:t>
            </w:r>
            <w:r w:rsidRPr="00F04276">
              <w:rPr>
                <w:rFonts w:ascii="宋体" w:hAnsi="宋体" w:cs="宋体" w:hint="eastAsia"/>
                <w:color w:val="000000" w:themeColor="text1"/>
                <w:kern w:val="0"/>
                <w:sz w:val="18"/>
              </w:rPr>
              <w:t>，相关专业和资质齐全（7</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15）；</w:t>
            </w:r>
          </w:p>
        </w:tc>
        <w:tc>
          <w:tcPr>
            <w:tcW w:w="251" w:type="pct"/>
            <w:vMerge w:val="restart"/>
            <w:shd w:val="clear" w:color="auto" w:fill="auto"/>
            <w:vAlign w:val="center"/>
          </w:tcPr>
          <w:p w:rsidR="00285A91" w:rsidRPr="00F04276" w:rsidRDefault="00285A91" w:rsidP="008623BA">
            <w:pPr>
              <w:spacing w:line="240" w:lineRule="exact"/>
              <w:jc w:val="center"/>
              <w:rPr>
                <w:rFonts w:ascii="宋体" w:hAnsi="宋体" w:cs="宋体"/>
                <w:color w:val="000000" w:themeColor="text1"/>
                <w:kern w:val="0"/>
                <w:sz w:val="18"/>
              </w:rPr>
            </w:pPr>
            <w:r w:rsidRPr="00F04276">
              <w:rPr>
                <w:rFonts w:ascii="宋体" w:hAnsi="宋体" w:cs="宋体"/>
                <w:color w:val="000000" w:themeColor="text1"/>
                <w:kern w:val="0"/>
                <w:sz w:val="18"/>
              </w:rPr>
              <w:t>0-</w:t>
            </w:r>
            <w:r w:rsidRPr="00F04276">
              <w:rPr>
                <w:rFonts w:ascii="宋体" w:hAnsi="宋体" w:cs="宋体" w:hint="eastAsia"/>
                <w:color w:val="000000" w:themeColor="text1"/>
                <w:kern w:val="0"/>
                <w:sz w:val="18"/>
              </w:rPr>
              <w:t>15</w:t>
            </w: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项目参与人员安排较为合理，负责人对项目</w:t>
            </w:r>
            <w:r w:rsidRPr="00F04276">
              <w:rPr>
                <w:rFonts w:ascii="宋体" w:hAnsi="宋体" w:hint="eastAsia"/>
                <w:color w:val="000000" w:themeColor="text1"/>
                <w:sz w:val="18"/>
              </w:rPr>
              <w:t>管理经验一般</w:t>
            </w:r>
            <w:r w:rsidRPr="00F04276">
              <w:rPr>
                <w:rFonts w:ascii="宋体" w:hAnsi="宋体" w:cs="宋体" w:hint="eastAsia"/>
                <w:color w:val="000000" w:themeColor="text1"/>
                <w:kern w:val="0"/>
                <w:sz w:val="18"/>
              </w:rPr>
              <w:t>，相关专业和资质基本齐全，（1</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6）；</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val="restart"/>
            <w:shd w:val="clear" w:color="auto" w:fill="auto"/>
            <w:vAlign w:val="center"/>
          </w:tcPr>
          <w:p w:rsidR="00285A91" w:rsidRPr="00F04276" w:rsidRDefault="00285A91" w:rsidP="002A43E8">
            <w:pPr>
              <w:spacing w:line="240" w:lineRule="exact"/>
              <w:rPr>
                <w:rFonts w:ascii="宋体" w:hAnsi="宋体"/>
                <w:color w:val="000000" w:themeColor="text1"/>
                <w:sz w:val="18"/>
              </w:rPr>
            </w:pPr>
            <w:r w:rsidRPr="00F04276">
              <w:rPr>
                <w:rFonts w:ascii="宋体" w:hAnsi="宋体" w:hint="eastAsia"/>
                <w:color w:val="000000" w:themeColor="text1"/>
                <w:sz w:val="18"/>
              </w:rPr>
              <w:t>质量保证和服务承诺</w:t>
            </w:r>
          </w:p>
        </w:tc>
        <w:tc>
          <w:tcPr>
            <w:tcW w:w="205"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1</w:t>
            </w:r>
            <w:r w:rsidRPr="00F04276">
              <w:rPr>
                <w:rFonts w:ascii="宋体" w:hAnsi="宋体" w:cs="宋体"/>
                <w:color w:val="000000" w:themeColor="text1"/>
                <w:kern w:val="0"/>
                <w:sz w:val="18"/>
              </w:rPr>
              <w:t>0</w:t>
            </w: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项目质量分解、规划合理，有售后服务承诺，工作方法规范，质量控制手段完善，针对性、可行性强（7</w:t>
            </w:r>
            <w:r w:rsidRPr="00F04276">
              <w:rPr>
                <w:rFonts w:ascii="宋体" w:hAnsi="宋体" w:cs="宋体"/>
                <w:color w:val="000000" w:themeColor="text1"/>
                <w:kern w:val="0"/>
                <w:sz w:val="18"/>
              </w:rPr>
              <w:t>-10</w:t>
            </w:r>
            <w:r w:rsidRPr="00F04276">
              <w:rPr>
                <w:rFonts w:ascii="宋体" w:hAnsi="宋体" w:cs="宋体" w:hint="eastAsia"/>
                <w:color w:val="000000" w:themeColor="text1"/>
                <w:kern w:val="0"/>
                <w:sz w:val="18"/>
              </w:rPr>
              <w:t>）；</w:t>
            </w:r>
          </w:p>
        </w:tc>
        <w:tc>
          <w:tcPr>
            <w:tcW w:w="251" w:type="pct"/>
            <w:vMerge w:val="restar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0</w:t>
            </w:r>
            <w:r w:rsidRPr="00F04276">
              <w:rPr>
                <w:rFonts w:ascii="宋体" w:hAnsi="宋体" w:cs="宋体"/>
                <w:color w:val="000000" w:themeColor="text1"/>
                <w:kern w:val="0"/>
                <w:sz w:val="18"/>
              </w:rPr>
              <w:t>-10</w:t>
            </w: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restar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rPr>
          <w:trHeight w:val="64"/>
        </w:trPr>
        <w:tc>
          <w:tcPr>
            <w:tcW w:w="151"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99" w:type="pct"/>
            <w:vMerge/>
            <w:shd w:val="clear" w:color="auto" w:fill="auto"/>
            <w:vAlign w:val="center"/>
          </w:tcPr>
          <w:p w:rsidR="00285A91" w:rsidRPr="00F04276" w:rsidRDefault="00285A91" w:rsidP="002A43E8">
            <w:pPr>
              <w:spacing w:line="240" w:lineRule="exact"/>
              <w:jc w:val="center"/>
              <w:rPr>
                <w:rFonts w:ascii="宋体" w:hAnsi="宋体" w:cs="宋体"/>
                <w:b/>
                <w:color w:val="000000" w:themeColor="text1"/>
                <w:kern w:val="0"/>
                <w:sz w:val="18"/>
              </w:rPr>
            </w:pPr>
          </w:p>
        </w:tc>
        <w:tc>
          <w:tcPr>
            <w:tcW w:w="273" w:type="pct"/>
            <w:vMerge/>
            <w:shd w:val="clear" w:color="auto" w:fill="auto"/>
          </w:tcPr>
          <w:p w:rsidR="00285A91" w:rsidRPr="00F04276" w:rsidRDefault="00285A91" w:rsidP="002A43E8">
            <w:pPr>
              <w:spacing w:line="240" w:lineRule="exact"/>
              <w:rPr>
                <w:rFonts w:ascii="宋体" w:hAnsi="宋体" w:cs="宋体"/>
                <w:color w:val="000000" w:themeColor="text1"/>
                <w:kern w:val="0"/>
                <w:sz w:val="18"/>
              </w:rPr>
            </w:pPr>
          </w:p>
        </w:tc>
        <w:tc>
          <w:tcPr>
            <w:tcW w:w="205" w:type="pct"/>
            <w:vMerge/>
            <w:shd w:val="clear" w:color="auto" w:fill="auto"/>
          </w:tcPr>
          <w:p w:rsidR="00285A91" w:rsidRPr="00F04276" w:rsidRDefault="00285A91" w:rsidP="002A43E8">
            <w:pPr>
              <w:spacing w:line="240" w:lineRule="exact"/>
              <w:rPr>
                <w:rFonts w:ascii="宋体" w:hAnsi="宋体" w:cs="宋体"/>
                <w:color w:val="000000" w:themeColor="text1"/>
                <w:kern w:val="0"/>
                <w:sz w:val="18"/>
              </w:rPr>
            </w:pPr>
          </w:p>
        </w:tc>
        <w:tc>
          <w:tcPr>
            <w:tcW w:w="2022" w:type="pct"/>
            <w:shd w:val="clear" w:color="auto" w:fill="auto"/>
            <w:vAlign w:val="center"/>
          </w:tcPr>
          <w:p w:rsidR="00285A91" w:rsidRPr="00F04276" w:rsidRDefault="00285A91" w:rsidP="002A43E8">
            <w:pPr>
              <w:spacing w:line="240" w:lineRule="exact"/>
              <w:rPr>
                <w:rFonts w:ascii="宋体" w:hAnsi="宋体" w:cs="宋体"/>
                <w:color w:val="000000" w:themeColor="text1"/>
                <w:kern w:val="0"/>
                <w:sz w:val="18"/>
              </w:rPr>
            </w:pPr>
            <w:r w:rsidRPr="00F04276">
              <w:rPr>
                <w:rFonts w:ascii="宋体" w:hAnsi="宋体" w:cs="宋体" w:hint="eastAsia"/>
                <w:color w:val="000000" w:themeColor="text1"/>
                <w:kern w:val="0"/>
                <w:sz w:val="18"/>
              </w:rPr>
              <w:t>项目质量满足工作要求，工作方法较为合理，质量保障措施一般（1</w:t>
            </w:r>
            <w:r w:rsidRPr="00F04276">
              <w:rPr>
                <w:rFonts w:ascii="宋体" w:hAnsi="宋体" w:cs="宋体"/>
                <w:color w:val="000000" w:themeColor="text1"/>
                <w:kern w:val="0"/>
                <w:sz w:val="18"/>
              </w:rPr>
              <w:t>-</w:t>
            </w:r>
            <w:r w:rsidRPr="00F04276">
              <w:rPr>
                <w:rFonts w:ascii="宋体" w:hAnsi="宋体" w:cs="宋体" w:hint="eastAsia"/>
                <w:color w:val="000000" w:themeColor="text1"/>
                <w:kern w:val="0"/>
                <w:sz w:val="18"/>
              </w:rPr>
              <w:t>6）；</w:t>
            </w:r>
          </w:p>
        </w:tc>
        <w:tc>
          <w:tcPr>
            <w:tcW w:w="251" w:type="pct"/>
            <w:vMerge/>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Merge/>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c>
          <w:tcPr>
            <w:tcW w:w="151" w:type="pct"/>
            <w:shd w:val="clear" w:color="auto" w:fill="auto"/>
            <w:vAlign w:val="center"/>
          </w:tcPr>
          <w:p w:rsidR="00285A91" w:rsidRPr="00F04276" w:rsidRDefault="00285A91" w:rsidP="002A43E8">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3</w:t>
            </w:r>
          </w:p>
        </w:tc>
        <w:tc>
          <w:tcPr>
            <w:tcW w:w="299" w:type="pct"/>
            <w:shd w:val="clear" w:color="auto" w:fill="auto"/>
            <w:vAlign w:val="center"/>
          </w:tcPr>
          <w:p w:rsidR="00285A91" w:rsidRPr="00F04276" w:rsidRDefault="00285A91" w:rsidP="00673896">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响应报价（10分）</w:t>
            </w:r>
          </w:p>
        </w:tc>
        <w:tc>
          <w:tcPr>
            <w:tcW w:w="2500" w:type="pct"/>
            <w:gridSpan w:val="3"/>
            <w:shd w:val="clear" w:color="auto" w:fill="auto"/>
            <w:vAlign w:val="center"/>
          </w:tcPr>
          <w:p w:rsidR="00285A91" w:rsidRPr="00F04276" w:rsidRDefault="00285A91" w:rsidP="00673896">
            <w:pPr>
              <w:snapToGrid w:val="0"/>
              <w:spacing w:line="240" w:lineRule="exact"/>
              <w:rPr>
                <w:rFonts w:ascii="宋体" w:hAnsi="宋体" w:cs="宋体"/>
                <w:color w:val="000000" w:themeColor="text1"/>
                <w:kern w:val="0"/>
                <w:sz w:val="18"/>
              </w:rPr>
            </w:pPr>
            <w:r w:rsidRPr="00F04276">
              <w:rPr>
                <w:rFonts w:ascii="宋体" w:hAnsi="宋体"/>
                <w:color w:val="000000" w:themeColor="text1"/>
                <w:sz w:val="18"/>
              </w:rPr>
              <w:t>A.</w:t>
            </w:r>
            <w:r w:rsidRPr="00F04276">
              <w:rPr>
                <w:rFonts w:ascii="宋体" w:hAnsi="宋体" w:hint="eastAsia"/>
                <w:color w:val="000000" w:themeColor="text1"/>
                <w:sz w:val="18"/>
              </w:rPr>
              <w:t>基准标价得分为10分。</w:t>
            </w:r>
            <w:r w:rsidRPr="00F04276">
              <w:rPr>
                <w:rFonts w:ascii="宋体" w:hAnsi="宋体"/>
                <w:color w:val="000000" w:themeColor="text1"/>
                <w:sz w:val="18"/>
              </w:rPr>
              <w:t>B.</w:t>
            </w:r>
            <w:r w:rsidRPr="00F04276">
              <w:rPr>
                <w:rFonts w:ascii="宋体" w:hAnsi="宋体" w:hint="eastAsia"/>
                <w:color w:val="000000" w:themeColor="text1"/>
                <w:sz w:val="18"/>
              </w:rPr>
              <w:t>基准价为响应报价的最低价格。</w:t>
            </w:r>
            <w:r w:rsidRPr="00F04276">
              <w:rPr>
                <w:rFonts w:ascii="宋体" w:hAnsi="宋体"/>
                <w:color w:val="000000" w:themeColor="text1"/>
                <w:sz w:val="18"/>
              </w:rPr>
              <w:t>C.</w:t>
            </w:r>
            <w:r w:rsidRPr="00F04276">
              <w:rPr>
                <w:rFonts w:ascii="宋体" w:hAnsi="宋体" w:hint="eastAsia"/>
                <w:color w:val="000000" w:themeColor="text1"/>
                <w:sz w:val="18"/>
              </w:rPr>
              <w:t>当响应报价高于基准标价时，价格得分=(基准价/响应报价) X10。</w:t>
            </w:r>
            <w:r w:rsidRPr="00F04276">
              <w:rPr>
                <w:rFonts w:ascii="宋体" w:hAnsi="宋体"/>
                <w:color w:val="000000" w:themeColor="text1"/>
                <w:sz w:val="18"/>
              </w:rPr>
              <w:t>D.</w:t>
            </w:r>
            <w:r w:rsidRPr="00F04276">
              <w:rPr>
                <w:rFonts w:ascii="宋体" w:hAnsi="宋体" w:hint="eastAsia"/>
                <w:color w:val="000000" w:themeColor="text1"/>
                <w:sz w:val="18"/>
              </w:rPr>
              <w:t>计算分值精确至小数点后两位。</w:t>
            </w:r>
          </w:p>
        </w:tc>
        <w:tc>
          <w:tcPr>
            <w:tcW w:w="251" w:type="pct"/>
            <w:shd w:val="clear" w:color="auto" w:fill="auto"/>
            <w:vAlign w:val="center"/>
          </w:tcPr>
          <w:p w:rsidR="00285A91" w:rsidRPr="00F04276" w:rsidRDefault="00285A91" w:rsidP="002A43E8">
            <w:pPr>
              <w:spacing w:line="240" w:lineRule="exact"/>
              <w:jc w:val="center"/>
              <w:rPr>
                <w:rFonts w:ascii="宋体" w:hAnsi="宋体" w:cs="宋体"/>
                <w:color w:val="000000" w:themeColor="text1"/>
                <w:kern w:val="0"/>
                <w:sz w:val="18"/>
              </w:rPr>
            </w:pPr>
            <w:r w:rsidRPr="00F04276">
              <w:rPr>
                <w:rFonts w:ascii="宋体" w:hAnsi="宋体" w:cs="宋体" w:hint="eastAsia"/>
                <w:color w:val="000000" w:themeColor="text1"/>
                <w:kern w:val="0"/>
                <w:sz w:val="18"/>
              </w:rPr>
              <w:t>0</w:t>
            </w:r>
            <w:r w:rsidRPr="00F04276">
              <w:rPr>
                <w:rFonts w:ascii="宋体" w:hAnsi="宋体" w:cs="宋体"/>
                <w:color w:val="000000" w:themeColor="text1"/>
                <w:kern w:val="0"/>
                <w:sz w:val="18"/>
              </w:rPr>
              <w:t>-10</w:t>
            </w:r>
          </w:p>
        </w:tc>
        <w:tc>
          <w:tcPr>
            <w:tcW w:w="606" w:type="pc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606" w:type="pct"/>
            <w:vAlign w:val="center"/>
          </w:tcPr>
          <w:p w:rsidR="00285A91" w:rsidRPr="00F04276" w:rsidRDefault="00285A91" w:rsidP="00673896">
            <w:pPr>
              <w:spacing w:line="240" w:lineRule="exact"/>
              <w:jc w:val="center"/>
              <w:rPr>
                <w:rFonts w:ascii="宋体" w:hAnsi="宋体" w:cs="宋体"/>
                <w:color w:val="000000" w:themeColor="text1"/>
                <w:kern w:val="0"/>
                <w:sz w:val="18"/>
              </w:rPr>
            </w:pPr>
          </w:p>
        </w:tc>
        <w:tc>
          <w:tcPr>
            <w:tcW w:w="587" w:type="pct"/>
            <w:vAlign w:val="center"/>
          </w:tcPr>
          <w:p w:rsidR="00285A91" w:rsidRPr="00F04276" w:rsidRDefault="00285A91" w:rsidP="00673896">
            <w:pPr>
              <w:spacing w:line="240" w:lineRule="exact"/>
              <w:jc w:val="center"/>
              <w:rPr>
                <w:rFonts w:ascii="宋体" w:hAnsi="宋体" w:cs="宋体"/>
                <w:color w:val="000000" w:themeColor="text1"/>
                <w:kern w:val="0"/>
                <w:sz w:val="18"/>
              </w:rPr>
            </w:pPr>
          </w:p>
        </w:tc>
      </w:tr>
      <w:tr w:rsidR="00F04276" w:rsidRPr="00F04276" w:rsidTr="00285A91">
        <w:trPr>
          <w:trHeight w:val="481"/>
        </w:trPr>
        <w:tc>
          <w:tcPr>
            <w:tcW w:w="151" w:type="pct"/>
            <w:shd w:val="clear" w:color="auto" w:fill="auto"/>
            <w:vAlign w:val="center"/>
          </w:tcPr>
          <w:p w:rsidR="00285A91" w:rsidRPr="00F04276" w:rsidRDefault="00285A91" w:rsidP="002A43E8">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4</w:t>
            </w:r>
          </w:p>
        </w:tc>
        <w:tc>
          <w:tcPr>
            <w:tcW w:w="299" w:type="pct"/>
            <w:shd w:val="clear" w:color="auto" w:fill="auto"/>
            <w:vAlign w:val="center"/>
          </w:tcPr>
          <w:p w:rsidR="00285A91" w:rsidRPr="00F04276" w:rsidRDefault="00285A91" w:rsidP="002A43E8">
            <w:pPr>
              <w:snapToGrid w:val="0"/>
              <w:spacing w:line="240" w:lineRule="exact"/>
              <w:jc w:val="center"/>
              <w:rPr>
                <w:rFonts w:ascii="宋体" w:hAnsi="宋体"/>
                <w:b/>
                <w:bCs/>
                <w:snapToGrid w:val="0"/>
                <w:color w:val="000000" w:themeColor="text1"/>
                <w:kern w:val="0"/>
                <w:sz w:val="18"/>
              </w:rPr>
            </w:pPr>
            <w:r w:rsidRPr="00F04276">
              <w:rPr>
                <w:rFonts w:ascii="宋体" w:hAnsi="宋体" w:hint="eastAsia"/>
                <w:b/>
                <w:bCs/>
                <w:snapToGrid w:val="0"/>
                <w:color w:val="000000" w:themeColor="text1"/>
                <w:kern w:val="0"/>
                <w:sz w:val="18"/>
              </w:rPr>
              <w:t>得分合计</w:t>
            </w:r>
          </w:p>
        </w:tc>
        <w:tc>
          <w:tcPr>
            <w:tcW w:w="2500" w:type="pct"/>
            <w:gridSpan w:val="3"/>
            <w:shd w:val="clear" w:color="auto" w:fill="auto"/>
            <w:vAlign w:val="center"/>
          </w:tcPr>
          <w:p w:rsidR="00285A91" w:rsidRPr="00F04276" w:rsidRDefault="00285A91" w:rsidP="002A43E8">
            <w:pPr>
              <w:spacing w:line="240" w:lineRule="exact"/>
              <w:rPr>
                <w:rFonts w:ascii="宋体" w:hAnsi="宋体" w:cs="宋体"/>
                <w:b/>
                <w:color w:val="000000" w:themeColor="text1"/>
                <w:kern w:val="0"/>
                <w:sz w:val="18"/>
              </w:rPr>
            </w:pPr>
          </w:p>
        </w:tc>
        <w:tc>
          <w:tcPr>
            <w:tcW w:w="251" w:type="pct"/>
            <w:shd w:val="clear" w:color="auto" w:fill="auto"/>
            <w:vAlign w:val="center"/>
          </w:tcPr>
          <w:p w:rsidR="00285A91" w:rsidRPr="00F04276" w:rsidRDefault="00285A91" w:rsidP="002A43E8">
            <w:pPr>
              <w:spacing w:line="240" w:lineRule="exact"/>
              <w:rPr>
                <w:rFonts w:ascii="宋体" w:hAnsi="宋体" w:cs="宋体"/>
                <w:b/>
                <w:color w:val="000000" w:themeColor="text1"/>
                <w:kern w:val="0"/>
                <w:sz w:val="18"/>
              </w:rPr>
            </w:pPr>
          </w:p>
        </w:tc>
        <w:tc>
          <w:tcPr>
            <w:tcW w:w="606" w:type="pct"/>
            <w:vAlign w:val="center"/>
          </w:tcPr>
          <w:p w:rsidR="00285A91" w:rsidRPr="00F04276" w:rsidRDefault="00285A91" w:rsidP="00673896">
            <w:pPr>
              <w:spacing w:line="240" w:lineRule="exact"/>
              <w:jc w:val="center"/>
              <w:rPr>
                <w:rFonts w:ascii="宋体" w:hAnsi="宋体" w:cs="宋体"/>
                <w:b/>
                <w:color w:val="000000" w:themeColor="text1"/>
                <w:kern w:val="0"/>
                <w:sz w:val="18"/>
              </w:rPr>
            </w:pPr>
          </w:p>
        </w:tc>
        <w:tc>
          <w:tcPr>
            <w:tcW w:w="606" w:type="pct"/>
            <w:vAlign w:val="center"/>
          </w:tcPr>
          <w:p w:rsidR="00285A91" w:rsidRPr="00F04276" w:rsidRDefault="00285A91" w:rsidP="00673896">
            <w:pPr>
              <w:spacing w:line="240" w:lineRule="exact"/>
              <w:jc w:val="center"/>
              <w:rPr>
                <w:rFonts w:ascii="宋体" w:hAnsi="宋体" w:cs="宋体"/>
                <w:b/>
                <w:color w:val="000000" w:themeColor="text1"/>
                <w:kern w:val="0"/>
                <w:sz w:val="18"/>
              </w:rPr>
            </w:pPr>
          </w:p>
        </w:tc>
        <w:tc>
          <w:tcPr>
            <w:tcW w:w="587" w:type="pct"/>
            <w:vAlign w:val="center"/>
          </w:tcPr>
          <w:p w:rsidR="00285A91" w:rsidRPr="00F04276" w:rsidRDefault="00285A91" w:rsidP="00673896">
            <w:pPr>
              <w:spacing w:line="240" w:lineRule="exact"/>
              <w:jc w:val="center"/>
              <w:rPr>
                <w:rFonts w:ascii="宋体" w:hAnsi="宋体" w:cs="宋体"/>
                <w:b/>
                <w:color w:val="000000" w:themeColor="text1"/>
                <w:kern w:val="0"/>
                <w:sz w:val="18"/>
              </w:rPr>
            </w:pPr>
          </w:p>
        </w:tc>
      </w:tr>
    </w:tbl>
    <w:p w:rsidR="002A43E8" w:rsidRPr="00F04276" w:rsidRDefault="002A43E8" w:rsidP="002A43E8">
      <w:pPr>
        <w:ind w:firstLineChars="200" w:firstLine="420"/>
        <w:rPr>
          <w:rFonts w:ascii="宋体" w:eastAsia="宋体" w:hAnsiTheme="minorEastAsia"/>
          <w:color w:val="000000" w:themeColor="text1"/>
        </w:rPr>
      </w:pPr>
      <w:r w:rsidRPr="00F04276">
        <w:rPr>
          <w:rFonts w:ascii="宋体-18030" w:eastAsia="宋体-18030" w:hAnsi="宋体-18030" w:cs="宋体-18030" w:hint="eastAsia"/>
          <w:color w:val="000000" w:themeColor="text1"/>
          <w:kern w:val="0"/>
          <w:szCs w:val="21"/>
        </w:rPr>
        <w:t>评委签名：</w:t>
      </w:r>
    </w:p>
    <w:sectPr w:rsidR="002A43E8" w:rsidRPr="00F04276"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B4" w:rsidRDefault="004C0DB4" w:rsidP="00A1206D">
      <w:r>
        <w:separator/>
      </w:r>
    </w:p>
  </w:endnote>
  <w:endnote w:type="continuationSeparator" w:id="0">
    <w:p w:rsidR="004C0DB4" w:rsidRDefault="004C0DB4" w:rsidP="00A1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2A43E8" w:rsidP="00A40DDB">
    <w:pPr>
      <w:pStyle w:val="a5"/>
      <w:rPr>
        <w:sz w:val="28"/>
        <w:szCs w:val="28"/>
      </w:rPr>
    </w:pPr>
    <w:r w:rsidRPr="00A40DDB">
      <w:rPr>
        <w:sz w:val="28"/>
        <w:szCs w:val="28"/>
      </w:rPr>
      <w:t xml:space="preserve">— </w:t>
    </w:r>
    <w:r w:rsidR="005325CC" w:rsidRPr="00A40DDB">
      <w:rPr>
        <w:sz w:val="28"/>
        <w:szCs w:val="28"/>
      </w:rPr>
      <w:fldChar w:fldCharType="begin"/>
    </w:r>
    <w:r w:rsidRPr="00A40DDB">
      <w:rPr>
        <w:sz w:val="28"/>
        <w:szCs w:val="28"/>
      </w:rPr>
      <w:instrText xml:space="preserve"> PAGE   \* MERGEFORMAT </w:instrText>
    </w:r>
    <w:r w:rsidR="005325CC" w:rsidRPr="00A40DDB">
      <w:rPr>
        <w:sz w:val="28"/>
        <w:szCs w:val="28"/>
      </w:rPr>
      <w:fldChar w:fldCharType="separate"/>
    </w:r>
    <w:r w:rsidRPr="00D03940">
      <w:rPr>
        <w:noProof/>
        <w:sz w:val="28"/>
        <w:szCs w:val="28"/>
        <w:lang w:val="zh-CN"/>
      </w:rPr>
      <w:t>12</w:t>
    </w:r>
    <w:r w:rsidR="005325CC"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2A43E8" w:rsidP="00A40DDB">
    <w:pPr>
      <w:pStyle w:val="a5"/>
      <w:ind w:left="360"/>
      <w:jc w:val="right"/>
    </w:pPr>
    <w:r w:rsidRPr="00A40DDB">
      <w:rPr>
        <w:sz w:val="28"/>
        <w:szCs w:val="28"/>
      </w:rPr>
      <w:t xml:space="preserve">— </w:t>
    </w:r>
    <w:r w:rsidR="005325CC" w:rsidRPr="00A40DDB">
      <w:rPr>
        <w:sz w:val="28"/>
        <w:szCs w:val="28"/>
      </w:rPr>
      <w:fldChar w:fldCharType="begin"/>
    </w:r>
    <w:r w:rsidRPr="00A40DDB">
      <w:rPr>
        <w:sz w:val="28"/>
        <w:szCs w:val="28"/>
      </w:rPr>
      <w:instrText xml:space="preserve"> PAGE   \* MERGEFORMAT </w:instrText>
    </w:r>
    <w:r w:rsidR="005325CC" w:rsidRPr="00A40DDB">
      <w:rPr>
        <w:sz w:val="28"/>
        <w:szCs w:val="28"/>
      </w:rPr>
      <w:fldChar w:fldCharType="separate"/>
    </w:r>
    <w:r w:rsidR="00E86D71" w:rsidRPr="00E86D71">
      <w:rPr>
        <w:noProof/>
        <w:sz w:val="28"/>
        <w:szCs w:val="28"/>
        <w:lang w:val="zh-CN"/>
      </w:rPr>
      <w:t>1</w:t>
    </w:r>
    <w:r w:rsidR="005325CC"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B4" w:rsidRDefault="004C0DB4" w:rsidP="00A1206D">
      <w:r>
        <w:separator/>
      </w:r>
    </w:p>
  </w:footnote>
  <w:footnote w:type="continuationSeparator" w:id="0">
    <w:p w:rsidR="004C0DB4" w:rsidRDefault="004C0DB4" w:rsidP="00A12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4B98"/>
    <w:rsid w:val="00031CAC"/>
    <w:rsid w:val="000833A7"/>
    <w:rsid w:val="000F1DED"/>
    <w:rsid w:val="00120267"/>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B7AE5"/>
    <w:rsid w:val="002E56E3"/>
    <w:rsid w:val="0030766B"/>
    <w:rsid w:val="00321AAC"/>
    <w:rsid w:val="003464D0"/>
    <w:rsid w:val="00361799"/>
    <w:rsid w:val="003B2381"/>
    <w:rsid w:val="003B3BA7"/>
    <w:rsid w:val="003B3E2D"/>
    <w:rsid w:val="003D0874"/>
    <w:rsid w:val="003D61A9"/>
    <w:rsid w:val="003E76FA"/>
    <w:rsid w:val="003F24A6"/>
    <w:rsid w:val="004000DF"/>
    <w:rsid w:val="00492266"/>
    <w:rsid w:val="004C0DB4"/>
    <w:rsid w:val="004C16AB"/>
    <w:rsid w:val="00500344"/>
    <w:rsid w:val="005325CC"/>
    <w:rsid w:val="0054637B"/>
    <w:rsid w:val="005739B4"/>
    <w:rsid w:val="005929DB"/>
    <w:rsid w:val="00595425"/>
    <w:rsid w:val="00597359"/>
    <w:rsid w:val="005F1E8C"/>
    <w:rsid w:val="005F37A1"/>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B169F"/>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930CC"/>
    <w:rsid w:val="00DB5878"/>
    <w:rsid w:val="00DD1C41"/>
    <w:rsid w:val="00DF5420"/>
    <w:rsid w:val="00DF54B9"/>
    <w:rsid w:val="00E13F34"/>
    <w:rsid w:val="00E412F0"/>
    <w:rsid w:val="00E86D71"/>
    <w:rsid w:val="00E971A6"/>
    <w:rsid w:val="00EA0020"/>
    <w:rsid w:val="00EB1C24"/>
    <w:rsid w:val="00EB323E"/>
    <w:rsid w:val="00EC1C76"/>
    <w:rsid w:val="00EC4B98"/>
    <w:rsid w:val="00EF1E01"/>
    <w:rsid w:val="00F04276"/>
    <w:rsid w:val="00F21E20"/>
    <w:rsid w:val="00F45090"/>
    <w:rsid w:val="00F50973"/>
    <w:rsid w:val="00F53B68"/>
    <w:rsid w:val="00F91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09A27-7E37-4A16-AE99-EB6674E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 w:type="paragraph" w:styleId="a7">
    <w:name w:val="Balloon Text"/>
    <w:basedOn w:val="a"/>
    <w:link w:val="Char2"/>
    <w:uiPriority w:val="99"/>
    <w:semiHidden/>
    <w:unhideWhenUsed/>
    <w:rsid w:val="00AB169F"/>
    <w:rPr>
      <w:sz w:val="18"/>
      <w:szCs w:val="18"/>
    </w:rPr>
  </w:style>
  <w:style w:type="character" w:customStyle="1" w:styleId="Char2">
    <w:name w:val="批注框文本 Char"/>
    <w:basedOn w:val="a0"/>
    <w:link w:val="a7"/>
    <w:uiPriority w:val="99"/>
    <w:semiHidden/>
    <w:rsid w:val="00AB1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汤明瑛</cp:lastModifiedBy>
  <cp:revision>29</cp:revision>
  <cp:lastPrinted>2019-03-22T02:26:00Z</cp:lastPrinted>
  <dcterms:created xsi:type="dcterms:W3CDTF">2018-05-15T08:56:00Z</dcterms:created>
  <dcterms:modified xsi:type="dcterms:W3CDTF">2019-03-28T07:10:00Z</dcterms:modified>
</cp:coreProperties>
</file>