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b/>
          <w:bCs/>
          <w:sz w:val="36"/>
          <w:szCs w:val="36"/>
        </w:rPr>
      </w:pPr>
      <w:r>
        <w:rPr>
          <w:rFonts w:hint="eastAsia" w:ascii="华文中宋" w:hAnsi="华文中宋" w:eastAsia="华文中宋"/>
          <w:b/>
          <w:sz w:val="36"/>
          <w:szCs w:val="36"/>
        </w:rPr>
        <w:t>北京市残疾人社会服务指导中心</w:t>
      </w:r>
      <w:r>
        <w:rPr>
          <w:rFonts w:hint="eastAsia" w:ascii="华文中宋" w:hAnsi="华文中宋" w:eastAsia="华文中宋"/>
          <w:b/>
          <w:sz w:val="36"/>
          <w:szCs w:val="36"/>
          <w:lang w:eastAsia="zh-CN"/>
        </w:rPr>
        <w:t>电梯（客梯）改造</w:t>
      </w:r>
      <w:r>
        <w:rPr>
          <w:rFonts w:hint="eastAsia" w:ascii="华文中宋" w:hAnsi="华文中宋" w:eastAsia="华文中宋"/>
          <w:b/>
          <w:bCs/>
          <w:sz w:val="36"/>
          <w:szCs w:val="36"/>
        </w:rPr>
        <w:t>项目</w:t>
      </w:r>
      <w:r>
        <w:rPr>
          <w:rFonts w:hint="eastAsia" w:ascii="华文中宋" w:hAnsi="华文中宋" w:eastAsia="华文中宋" w:cs="宋体"/>
          <w:b/>
          <w:bCs/>
          <w:color w:val="000000"/>
          <w:kern w:val="0"/>
          <w:sz w:val="36"/>
          <w:szCs w:val="36"/>
        </w:rPr>
        <w:t>评分表</w:t>
      </w:r>
      <w:bookmarkStart w:id="0" w:name="_GoBack"/>
      <w:bookmarkEnd w:id="0"/>
    </w:p>
    <w:p>
      <w:pPr>
        <w:rPr>
          <w:rFonts w:ascii="华文中宋" w:hAnsi="华文中宋" w:eastAsia="华文中宋" w:cs="宋体"/>
          <w:b/>
          <w:bCs/>
          <w:color w:val="000000"/>
          <w:kern w:val="0"/>
          <w:sz w:val="36"/>
          <w:szCs w:val="36"/>
        </w:rPr>
      </w:pPr>
      <w:r>
        <w:rPr>
          <w:rFonts w:ascii="宋体-18030" w:hAnsi="宋体-18030"/>
          <w:color w:val="000000"/>
          <w:kern w:val="0"/>
        </w:rPr>
        <w:t>日期：</w:t>
      </w:r>
    </w:p>
    <w:tbl>
      <w:tblPr>
        <w:tblStyle w:val="3"/>
        <w:tblpPr w:leftFromText="180" w:rightFromText="180" w:vertAnchor="text" w:horzAnchor="margin" w:tblpX="-256" w:tblpY="12"/>
        <w:tblOverlap w:val="never"/>
        <w:tblW w:w="147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95"/>
        <w:gridCol w:w="709"/>
        <w:gridCol w:w="425"/>
        <w:gridCol w:w="567"/>
        <w:gridCol w:w="5529"/>
        <w:gridCol w:w="567"/>
        <w:gridCol w:w="2126"/>
        <w:gridCol w:w="2126"/>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序号</w:t>
            </w:r>
          </w:p>
        </w:tc>
        <w:tc>
          <w:tcPr>
            <w:tcW w:w="709"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评分因素</w:t>
            </w:r>
          </w:p>
        </w:tc>
        <w:tc>
          <w:tcPr>
            <w:tcW w:w="425"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项 目</w:t>
            </w:r>
          </w:p>
        </w:tc>
        <w:tc>
          <w:tcPr>
            <w:tcW w:w="567"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标准分</w:t>
            </w: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评分标准</w:t>
            </w:r>
          </w:p>
        </w:tc>
        <w:tc>
          <w:tcPr>
            <w:tcW w:w="567"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b/>
                <w:bCs/>
                <w:sz w:val="18"/>
                <w:szCs w:val="18"/>
              </w:rPr>
              <w:t>分值</w:t>
            </w:r>
          </w:p>
        </w:tc>
        <w:tc>
          <w:tcPr>
            <w:tcW w:w="212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c>
          <w:tcPr>
            <w:tcW w:w="212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c>
          <w:tcPr>
            <w:tcW w:w="2126"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w:t>
            </w:r>
          </w:p>
        </w:tc>
        <w:tc>
          <w:tcPr>
            <w:tcW w:w="70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b/>
                <w:bCs/>
                <w:sz w:val="18"/>
                <w:szCs w:val="18"/>
              </w:rPr>
              <w:t>商务部分（35分）</w:t>
            </w:r>
          </w:p>
        </w:tc>
        <w:tc>
          <w:tcPr>
            <w:tcW w:w="425"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机构资质</w:t>
            </w:r>
          </w:p>
        </w:tc>
        <w:tc>
          <w:tcPr>
            <w:tcW w:w="567"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机构相关资格证明文件（企业法人营业执照、机构登记证书或其他组织证书）、机构法定代表人身份证复印件、法定代表人授权证书、受委托人身份证复印件</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机构财务条件具有履约能力（近六个月内任三个月依法缴纳税收和社会保障金的凭证复印件）</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机构信用证明材料或近三年内在经营活动中没有重大违法记录的书面声明，并加盖公章</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0-5</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425" w:type="dxa"/>
            <w:tcBorders>
              <w:top w:val="single" w:color="auto" w:sz="4" w:space="0"/>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相关业绩</w:t>
            </w:r>
          </w:p>
        </w:tc>
        <w:tc>
          <w:tcPr>
            <w:tcW w:w="567"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20</w:t>
            </w: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承担过类似项目，得到项目单位认可，每提供一份合同复印件（含合同首页、内容所在页、合同金额页、签字盖章页）得5分，最高20分</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0-20</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vMerge w:val="restart"/>
            <w:tcBorders>
              <w:top w:val="nil"/>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sz w:val="18"/>
                <w:szCs w:val="18"/>
              </w:rPr>
            </w:pPr>
            <w:r>
              <w:rPr>
                <w:rFonts w:hint="eastAsia" w:ascii="宋体" w:hAnsi="宋体"/>
                <w:b/>
                <w:bCs/>
                <w:sz w:val="18"/>
                <w:szCs w:val="18"/>
              </w:rPr>
              <w:t>阶段                                                                                                                                                                                                                                                                                                                                                                                                                                                                                                                                                                                                                                                                                                                                                                                                                                                                                                                                                                                                                                                                                                                                                                                                                                                                                                                                                                                                                                                                                                                                                                                                                                                                                                                                                                                                                                                                                                                                                                                                                                                                                                                                                                                                                                                                                                                                                                                                                                                                                                                                                                                                                                                                                                                                                                                                                                                                                                                                                                                                                                                                                                                                                                                                                                                                                                                                                                                                                                                                                                                        2</w:t>
            </w:r>
          </w:p>
        </w:tc>
        <w:tc>
          <w:tcPr>
            <w:tcW w:w="709"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b/>
                <w:bCs/>
                <w:sz w:val="18"/>
                <w:szCs w:val="18"/>
              </w:rPr>
            </w:pPr>
            <w:r>
              <w:rPr>
                <w:rFonts w:hint="eastAsia" w:ascii="宋体" w:hAnsi="宋体"/>
                <w:b/>
                <w:bCs/>
                <w:sz w:val="18"/>
                <w:szCs w:val="18"/>
              </w:rPr>
              <w:t>技术部分（55分）</w:t>
            </w:r>
          </w:p>
        </w:tc>
        <w:tc>
          <w:tcPr>
            <w:tcW w:w="425"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方案与措施</w:t>
            </w:r>
          </w:p>
        </w:tc>
        <w:tc>
          <w:tcPr>
            <w:tcW w:w="567"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服务方案完整，合理可行，服务内容及措施细致、具有针对性、有一定可操作性，能够满足项目需求（10-15）；</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r>
              <w:rPr>
                <w:rFonts w:hint="eastAsia" w:ascii="宋体" w:hAnsi="宋体"/>
                <w:sz w:val="18"/>
                <w:szCs w:val="18"/>
              </w:rPr>
              <w:t>0-15</w:t>
            </w: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trPr>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服务方案比较完整，服务内容及措施较为细致、较有针对性、可操作性一般，基本能够实现项目需求（5-9）；</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sz w:val="18"/>
                <w:szCs w:val="18"/>
              </w:rPr>
            </w:pPr>
            <w:r>
              <w:rPr>
                <w:rFonts w:hint="eastAsia" w:ascii="宋体" w:hAnsi="宋体"/>
                <w:sz w:val="18"/>
                <w:szCs w:val="18"/>
              </w:rPr>
              <w:t>服务方案内容及措施一般，细致程度、针对性、操作性欠佳（0-4）。</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行业标准规范</w:t>
            </w:r>
          </w:p>
        </w:tc>
        <w:tc>
          <w:tcPr>
            <w:tcW w:w="567" w:type="dxa"/>
            <w:vMerge w:val="restart"/>
            <w:tcBorders>
              <w:top w:val="nil"/>
              <w:left w:val="nil"/>
              <w:bottom w:val="single" w:color="auto" w:sz="4" w:space="0"/>
              <w:right w:val="single" w:color="auto" w:sz="4" w:space="0"/>
            </w:tcBorders>
            <w:vAlign w:val="center"/>
          </w:tcPr>
          <w:p>
            <w:pPr>
              <w:snapToGrid w:val="0"/>
              <w:spacing w:line="240" w:lineRule="exact"/>
              <w:jc w:val="center"/>
              <w:rPr>
                <w:rFonts w:ascii="宋体" w:hAnsi="宋体"/>
                <w:sz w:val="18"/>
                <w:szCs w:val="18"/>
              </w:rPr>
            </w:pPr>
            <w:r>
              <w:rPr>
                <w:rFonts w:hint="eastAsia" w:ascii="宋体" w:hAnsi="宋体"/>
                <w:sz w:val="18"/>
                <w:szCs w:val="18"/>
              </w:rPr>
              <w:t>15</w:t>
            </w:r>
          </w:p>
        </w:tc>
        <w:tc>
          <w:tcPr>
            <w:tcW w:w="5529" w:type="dxa"/>
            <w:tcBorders>
              <w:top w:val="single" w:color="auto" w:sz="4" w:space="0"/>
              <w:left w:val="nil"/>
              <w:bottom w:val="single" w:color="auto" w:sz="4" w:space="0"/>
              <w:right w:val="single" w:color="auto" w:sz="4" w:space="0"/>
            </w:tcBorders>
            <w:vAlign w:val="center"/>
          </w:tcPr>
          <w:p>
            <w:pPr>
              <w:spacing w:line="273" w:lineRule="auto"/>
              <w:rPr>
                <w:rFonts w:ascii="宋体" w:hAnsi="宋体"/>
                <w:kern w:val="0"/>
                <w:sz w:val="18"/>
                <w:szCs w:val="18"/>
              </w:rPr>
            </w:pPr>
            <w:r>
              <w:rPr>
                <w:rFonts w:hint="eastAsia" w:ascii="宋体" w:hAnsi="宋体"/>
                <w:color w:val="000000"/>
                <w:sz w:val="18"/>
                <w:szCs w:val="18"/>
              </w:rPr>
              <w:t>行业标准管理制度健全，并完全符合委托方要求（10-15）</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0-15</w:t>
            </w: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color w:val="000000"/>
                <w:sz w:val="18"/>
                <w:szCs w:val="18"/>
              </w:rPr>
              <w:t>行业标准管理制度健全，</w:t>
            </w:r>
            <w:r>
              <w:rPr>
                <w:rFonts w:hint="eastAsia" w:ascii="宋体" w:hAnsi="宋体"/>
                <w:kern w:val="0"/>
                <w:sz w:val="18"/>
                <w:szCs w:val="18"/>
              </w:rPr>
              <w:t>基本</w:t>
            </w:r>
            <w:r>
              <w:rPr>
                <w:rFonts w:hint="eastAsia" w:ascii="宋体" w:hAnsi="宋体"/>
                <w:color w:val="000000"/>
                <w:sz w:val="18"/>
                <w:szCs w:val="18"/>
              </w:rPr>
              <w:t>符合委托方要求</w:t>
            </w:r>
            <w:r>
              <w:rPr>
                <w:rFonts w:hint="eastAsia" w:ascii="宋体" w:hAnsi="宋体"/>
                <w:kern w:val="0"/>
                <w:sz w:val="18"/>
                <w:szCs w:val="18"/>
              </w:rPr>
              <w:t>（5-9）；</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color w:val="000000"/>
                <w:sz w:val="18"/>
                <w:szCs w:val="18"/>
              </w:rPr>
              <w:t>行业标准管理制度不健全、</w:t>
            </w:r>
            <w:r>
              <w:rPr>
                <w:rFonts w:hint="eastAsia" w:ascii="宋体" w:hAnsi="宋体"/>
                <w:kern w:val="0"/>
                <w:sz w:val="18"/>
                <w:szCs w:val="18"/>
              </w:rPr>
              <w:t>不太合理，不能满足要求（0-4）</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restart"/>
            <w:tcBorders>
              <w:top w:val="nil"/>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sz w:val="18"/>
                <w:szCs w:val="18"/>
              </w:rPr>
              <w:t>人员组织</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15</w:t>
            </w: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项目参与人员安排稳定，分工合理，负责人</w:t>
            </w:r>
            <w:r>
              <w:rPr>
                <w:rFonts w:hint="eastAsia" w:ascii="宋体" w:hAnsi="宋体"/>
                <w:color w:val="000000"/>
                <w:sz w:val="18"/>
                <w:szCs w:val="18"/>
              </w:rPr>
              <w:t>具有充分的相关管理经验</w:t>
            </w:r>
            <w:r>
              <w:rPr>
                <w:rFonts w:hint="eastAsia" w:ascii="宋体" w:hAnsi="宋体"/>
                <w:kern w:val="0"/>
                <w:sz w:val="18"/>
                <w:szCs w:val="18"/>
              </w:rPr>
              <w:t>，相关专业和资质齐全（7-15）；</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0-15</w:t>
            </w: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项目参与人员安排较为合理，负责人对项目</w:t>
            </w:r>
            <w:r>
              <w:rPr>
                <w:rFonts w:hint="eastAsia" w:ascii="宋体" w:hAnsi="宋体"/>
                <w:color w:val="000000"/>
                <w:sz w:val="18"/>
                <w:szCs w:val="18"/>
              </w:rPr>
              <w:t>管理经验一般</w:t>
            </w:r>
            <w:r>
              <w:rPr>
                <w:rFonts w:hint="eastAsia" w:ascii="宋体" w:hAnsi="宋体"/>
                <w:kern w:val="0"/>
                <w:sz w:val="18"/>
                <w:szCs w:val="18"/>
              </w:rPr>
              <w:t>，相关专业和资质基本齐全，（1-6）；</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restart"/>
            <w:tcBorders>
              <w:top w:val="nil"/>
              <w:left w:val="nil"/>
              <w:bottom w:val="single" w:color="auto" w:sz="4" w:space="0"/>
              <w:right w:val="single" w:color="auto" w:sz="4" w:space="0"/>
            </w:tcBorders>
            <w:vAlign w:val="center"/>
          </w:tcPr>
          <w:p>
            <w:pPr>
              <w:spacing w:line="240" w:lineRule="exact"/>
              <w:rPr>
                <w:rFonts w:ascii="宋体" w:hAnsi="宋体"/>
                <w:sz w:val="18"/>
                <w:szCs w:val="18"/>
              </w:rPr>
            </w:pPr>
            <w:r>
              <w:rPr>
                <w:rFonts w:hint="eastAsia" w:ascii="宋体" w:hAnsi="宋体"/>
                <w:sz w:val="18"/>
                <w:szCs w:val="18"/>
              </w:rPr>
              <w:t>质量保证和服务承诺</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10</w:t>
            </w: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有售后服务承诺，工作方法规范，质量控制手段完善，针对性、可行性强（7-10）；</w:t>
            </w:r>
          </w:p>
        </w:tc>
        <w:tc>
          <w:tcPr>
            <w:tcW w:w="567"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0-10</w:t>
            </w: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vMerge w:val="restart"/>
            <w:tcBorders>
              <w:top w:val="nil"/>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 w:hRule="atLeast"/>
        </w:trPr>
        <w:tc>
          <w:tcPr>
            <w:tcW w:w="59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
                <w:bCs/>
                <w:sz w:val="18"/>
                <w:szCs w:val="18"/>
              </w:rPr>
            </w:pPr>
          </w:p>
        </w:tc>
        <w:tc>
          <w:tcPr>
            <w:tcW w:w="709" w:type="dxa"/>
            <w:vMerge w:val="continue"/>
            <w:tcBorders>
              <w:top w:val="nil"/>
              <w:left w:val="nil"/>
              <w:bottom w:val="single" w:color="auto" w:sz="4" w:space="0"/>
              <w:right w:val="single" w:color="auto" w:sz="4" w:space="0"/>
            </w:tcBorders>
            <w:vAlign w:val="center"/>
          </w:tcPr>
          <w:p>
            <w:pPr>
              <w:widowControl/>
              <w:jc w:val="left"/>
              <w:rPr>
                <w:rFonts w:ascii="宋体" w:hAnsi="宋体"/>
                <w:b/>
                <w:bCs/>
                <w:sz w:val="18"/>
                <w:szCs w:val="18"/>
              </w:rPr>
            </w:pPr>
          </w:p>
        </w:tc>
        <w:tc>
          <w:tcPr>
            <w:tcW w:w="425" w:type="dxa"/>
            <w:vMerge w:val="continue"/>
            <w:tcBorders>
              <w:top w:val="nil"/>
              <w:left w:val="nil"/>
              <w:bottom w:val="single" w:color="auto" w:sz="4" w:space="0"/>
              <w:right w:val="single" w:color="auto" w:sz="4" w:space="0"/>
            </w:tcBorders>
            <w:vAlign w:val="center"/>
          </w:tcPr>
          <w:p>
            <w:pPr>
              <w:widowControl/>
              <w:jc w:val="left"/>
              <w:rPr>
                <w:rFonts w:ascii="宋体" w:hAnsi="宋体"/>
                <w:sz w:val="18"/>
                <w:szCs w:val="18"/>
              </w:rPr>
            </w:pP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5529" w:type="dxa"/>
            <w:tcBorders>
              <w:top w:val="single" w:color="auto" w:sz="4" w:space="0"/>
              <w:left w:val="nil"/>
              <w:bottom w:val="single" w:color="auto" w:sz="4" w:space="0"/>
              <w:right w:val="single" w:color="auto" w:sz="4" w:space="0"/>
            </w:tcBorders>
            <w:vAlign w:val="center"/>
          </w:tcPr>
          <w:p>
            <w:pPr>
              <w:spacing w:line="240" w:lineRule="exact"/>
              <w:rPr>
                <w:rFonts w:ascii="宋体" w:hAnsi="宋体"/>
                <w:kern w:val="0"/>
                <w:sz w:val="18"/>
                <w:szCs w:val="18"/>
              </w:rPr>
            </w:pPr>
            <w:r>
              <w:rPr>
                <w:rFonts w:hint="eastAsia" w:ascii="宋体" w:hAnsi="宋体"/>
                <w:kern w:val="0"/>
                <w:sz w:val="18"/>
                <w:szCs w:val="18"/>
              </w:rPr>
              <w:t>项目质量满足工作要求，工作方法较为合理，质量保障措施一般（1-6）；</w:t>
            </w:r>
          </w:p>
        </w:tc>
        <w:tc>
          <w:tcPr>
            <w:tcW w:w="567" w:type="dxa"/>
            <w:vMerge w:val="continue"/>
            <w:tcBorders>
              <w:top w:val="nil"/>
              <w:left w:val="nil"/>
              <w:bottom w:val="single" w:color="auto" w:sz="4" w:space="0"/>
              <w:right w:val="single" w:color="auto" w:sz="4" w:space="0"/>
            </w:tcBorders>
            <w:vAlign w:val="center"/>
          </w:tcPr>
          <w:p>
            <w:pPr>
              <w:widowControl/>
              <w:jc w:val="left"/>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c>
          <w:tcPr>
            <w:tcW w:w="2126" w:type="dxa"/>
            <w:vMerge w:val="continue"/>
            <w:tcBorders>
              <w:top w:val="nil"/>
              <w:left w:val="nil"/>
              <w:bottom w:val="single" w:color="auto" w:sz="4" w:space="0"/>
              <w:right w:val="single" w:color="auto" w:sz="4" w:space="0"/>
            </w:tcBorders>
            <w:vAlign w:val="center"/>
          </w:tcPr>
          <w:p>
            <w:pPr>
              <w:widowControl/>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3</w:t>
            </w:r>
          </w:p>
        </w:tc>
        <w:tc>
          <w:tcPr>
            <w:tcW w:w="709"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响应报价（10分）</w:t>
            </w:r>
          </w:p>
        </w:tc>
        <w:tc>
          <w:tcPr>
            <w:tcW w:w="6521" w:type="dxa"/>
            <w:gridSpan w:val="3"/>
            <w:tcBorders>
              <w:top w:val="single" w:color="auto" w:sz="4" w:space="0"/>
              <w:left w:val="nil"/>
              <w:bottom w:val="single" w:color="auto" w:sz="4" w:space="0"/>
              <w:right w:val="single" w:color="auto" w:sz="4" w:space="0"/>
            </w:tcBorders>
            <w:vAlign w:val="center"/>
          </w:tcPr>
          <w:p>
            <w:pPr>
              <w:snapToGrid w:val="0"/>
              <w:spacing w:line="240" w:lineRule="exact"/>
              <w:rPr>
                <w:rFonts w:ascii="宋体" w:hAnsi="宋体"/>
                <w:kern w:val="0"/>
                <w:sz w:val="18"/>
                <w:szCs w:val="18"/>
              </w:rPr>
            </w:pPr>
            <w:r>
              <w:rPr>
                <w:rFonts w:hint="eastAsia" w:ascii="宋体" w:hAnsi="宋体"/>
                <w:sz w:val="18"/>
                <w:szCs w:val="18"/>
              </w:rPr>
              <w:t>A.基准标价得分为10分。B.基准价为响应报价的最低价格。C.当响应报价高于基准标价时，价格得分=(基准价/响应报价) X10。D.计算分值精确至小数点后两位。</w:t>
            </w: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r>
              <w:rPr>
                <w:rFonts w:hint="eastAsia" w:ascii="宋体" w:hAnsi="宋体"/>
                <w:kern w:val="0"/>
                <w:sz w:val="18"/>
                <w:szCs w:val="18"/>
              </w:rPr>
              <w:t>0-10</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3" w:hRule="atLeast"/>
        </w:trPr>
        <w:tc>
          <w:tcPr>
            <w:tcW w:w="595" w:type="dxa"/>
            <w:tcBorders>
              <w:top w:val="single" w:color="auto" w:sz="4" w:space="0"/>
              <w:left w:val="single" w:color="auto" w:sz="4" w:space="0"/>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4</w:t>
            </w:r>
          </w:p>
        </w:tc>
        <w:tc>
          <w:tcPr>
            <w:tcW w:w="709" w:type="dxa"/>
            <w:tcBorders>
              <w:top w:val="single" w:color="auto" w:sz="4" w:space="0"/>
              <w:left w:val="nil"/>
              <w:bottom w:val="single" w:color="auto" w:sz="4" w:space="0"/>
              <w:right w:val="single" w:color="auto" w:sz="4" w:space="0"/>
            </w:tcBorders>
            <w:vAlign w:val="center"/>
          </w:tcPr>
          <w:p>
            <w:pPr>
              <w:snapToGrid w:val="0"/>
              <w:spacing w:line="240" w:lineRule="exact"/>
              <w:jc w:val="center"/>
              <w:rPr>
                <w:rFonts w:ascii="宋体" w:hAnsi="宋体"/>
                <w:b/>
                <w:bCs/>
                <w:kern w:val="0"/>
                <w:sz w:val="18"/>
                <w:szCs w:val="18"/>
              </w:rPr>
            </w:pPr>
            <w:r>
              <w:rPr>
                <w:rFonts w:hint="eastAsia" w:ascii="宋体" w:hAnsi="宋体"/>
                <w:b/>
                <w:bCs/>
                <w:kern w:val="0"/>
                <w:sz w:val="18"/>
                <w:szCs w:val="18"/>
              </w:rPr>
              <w:t>得分合计</w:t>
            </w:r>
          </w:p>
        </w:tc>
        <w:tc>
          <w:tcPr>
            <w:tcW w:w="6521" w:type="dxa"/>
            <w:gridSpan w:val="3"/>
            <w:tcBorders>
              <w:top w:val="single" w:color="auto" w:sz="4" w:space="0"/>
              <w:left w:val="nil"/>
              <w:bottom w:val="single" w:color="auto" w:sz="4" w:space="0"/>
              <w:right w:val="single" w:color="auto" w:sz="4" w:space="0"/>
            </w:tcBorders>
            <w:vAlign w:val="center"/>
          </w:tcPr>
          <w:p>
            <w:pPr>
              <w:spacing w:line="240" w:lineRule="exact"/>
              <w:rPr>
                <w:rFonts w:ascii="宋体" w:hAnsi="宋体"/>
                <w:b/>
                <w:bCs/>
                <w:kern w:val="0"/>
                <w:sz w:val="18"/>
                <w:szCs w:val="18"/>
              </w:rPr>
            </w:pPr>
          </w:p>
        </w:tc>
        <w:tc>
          <w:tcPr>
            <w:tcW w:w="567"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r>
              <w:rPr>
                <w:rFonts w:hint="eastAsia" w:ascii="宋体" w:hAnsi="宋体"/>
                <w:b/>
                <w:bCs/>
                <w:kern w:val="0"/>
                <w:sz w:val="18"/>
                <w:szCs w:val="18"/>
              </w:rPr>
              <w:t>100</w:t>
            </w: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c>
          <w:tcPr>
            <w:tcW w:w="2126" w:type="dxa"/>
            <w:tcBorders>
              <w:top w:val="single" w:color="auto" w:sz="4" w:space="0"/>
              <w:left w:val="nil"/>
              <w:bottom w:val="single" w:color="auto" w:sz="4" w:space="0"/>
              <w:right w:val="single" w:color="auto" w:sz="4" w:space="0"/>
            </w:tcBorders>
            <w:vAlign w:val="center"/>
          </w:tcPr>
          <w:p>
            <w:pPr>
              <w:spacing w:line="240" w:lineRule="exact"/>
              <w:jc w:val="center"/>
              <w:rPr>
                <w:rFonts w:ascii="宋体" w:hAnsi="宋体"/>
                <w:b/>
                <w:bCs/>
                <w:kern w:val="0"/>
                <w:sz w:val="18"/>
                <w:szCs w:val="18"/>
              </w:rPr>
            </w:pPr>
          </w:p>
        </w:tc>
      </w:tr>
    </w:tbl>
    <w:p>
      <w:r>
        <w:rPr>
          <w:rFonts w:ascii="宋体-18030" w:hAnsi="宋体-18030"/>
          <w:color w:val="000000"/>
          <w:kern w:val="0"/>
        </w:rPr>
        <w:br w:type="textWrapping" w:clear="all"/>
      </w:r>
      <w:r>
        <w:rPr>
          <w:rFonts w:ascii="宋体-18030" w:hAnsi="宋体-18030"/>
          <w:color w:val="000000"/>
          <w:kern w:val="0"/>
        </w:rPr>
        <w:t>评委签名：</w:t>
      </w:r>
    </w:p>
    <w:p/>
    <w:sectPr>
      <w:pgSz w:w="16838" w:h="11906" w:orient="landscape"/>
      <w:pgMar w:top="426" w:right="1440" w:bottom="709"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宋体-18030">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A671B"/>
    <w:rsid w:val="0EF3226B"/>
    <w:rsid w:val="54AA671B"/>
    <w:rsid w:val="712F1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styleId="5">
    <w:name w:val="page number"/>
    <w:qFormat/>
    <w:uiPriority w:val="0"/>
  </w:style>
  <w:style w:type="character" w:customStyle="1" w:styleId="6">
    <w:name w:val="page number"/>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2020-01-16T08:53:00Z</dcterms:created>
  <dc:creator>cx</dc:creator>
  <cp:lastModifiedBy>cx</cp:lastModifiedBy>
  <dcterms:modified xsi:type="dcterms:W3CDTF">2020-01-16T08:56:16Z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